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F7028" w14:textId="7165510F" w:rsidR="00715AC5" w:rsidRPr="00CF381E" w:rsidRDefault="00715AC5" w:rsidP="00715AC5">
      <w:pPr>
        <w:tabs>
          <w:tab w:val="center" w:pos="4536"/>
          <w:tab w:val="right" w:pos="9356"/>
          <w:tab w:val="right" w:pos="9639"/>
        </w:tabs>
        <w:spacing w:after="0"/>
        <w:rPr>
          <w:rFonts w:ascii="Arial" w:hAnsi="Arial" w:cs="Arial"/>
          <w:b/>
          <w:bCs/>
          <w:sz w:val="24"/>
        </w:rPr>
      </w:pPr>
      <w:r w:rsidRPr="00CF381E">
        <w:rPr>
          <w:rFonts w:ascii="Arial" w:hAnsi="Arial" w:cs="Arial"/>
          <w:b/>
          <w:bCs/>
          <w:sz w:val="24"/>
        </w:rPr>
        <w:t>3GPP TSG RAN WG1 Meeting #9</w:t>
      </w:r>
      <w:r>
        <w:rPr>
          <w:rFonts w:ascii="Arial" w:hAnsi="Arial" w:cs="Arial"/>
          <w:b/>
          <w:bCs/>
          <w:sz w:val="24"/>
        </w:rPr>
        <w:t>4</w:t>
      </w:r>
      <w:r w:rsidRPr="00CF381E">
        <w:rPr>
          <w:rFonts w:ascii="Arial" w:hAnsi="Arial" w:cs="Arial"/>
          <w:b/>
          <w:bCs/>
          <w:sz w:val="24"/>
        </w:rPr>
        <w:t xml:space="preserve">               </w:t>
      </w:r>
      <w:r>
        <w:rPr>
          <w:rFonts w:ascii="Arial" w:hAnsi="Arial" w:cs="Arial"/>
          <w:b/>
          <w:bCs/>
          <w:sz w:val="24"/>
        </w:rPr>
        <w:tab/>
      </w:r>
      <w:r w:rsidR="00A34630" w:rsidRPr="00A34630">
        <w:rPr>
          <w:rFonts w:ascii="Arial" w:hAnsi="Arial" w:cs="Arial"/>
          <w:b/>
          <w:bCs/>
          <w:sz w:val="24"/>
        </w:rPr>
        <w:t>R1-1808826</w:t>
      </w:r>
    </w:p>
    <w:p w14:paraId="550E9375" w14:textId="75DDEFD8" w:rsidR="00715AC5" w:rsidRDefault="00715AC5" w:rsidP="00715AC5">
      <w:pPr>
        <w:pStyle w:val="Header"/>
        <w:rPr>
          <w:rFonts w:cs="Arial"/>
          <w:bCs/>
          <w:sz w:val="24"/>
        </w:rPr>
      </w:pPr>
      <w:r w:rsidRPr="00032007">
        <w:rPr>
          <w:rFonts w:cs="Arial"/>
          <w:bCs/>
          <w:sz w:val="24"/>
        </w:rPr>
        <w:t>Gothenburg, Sweden, August 20</w:t>
      </w:r>
      <w:r w:rsidRPr="00C919B2">
        <w:rPr>
          <w:rFonts w:cs="Arial"/>
          <w:bCs/>
          <w:sz w:val="24"/>
          <w:vertAlign w:val="superscript"/>
        </w:rPr>
        <w:t>th</w:t>
      </w:r>
      <w:r w:rsidR="00C919B2">
        <w:rPr>
          <w:rFonts w:cs="Arial"/>
          <w:bCs/>
          <w:sz w:val="24"/>
        </w:rPr>
        <w:t xml:space="preserve"> </w:t>
      </w:r>
      <w:r w:rsidRPr="00032007">
        <w:rPr>
          <w:rFonts w:cs="Arial"/>
          <w:bCs/>
          <w:sz w:val="24"/>
        </w:rPr>
        <w:t>– 24</w:t>
      </w:r>
      <w:r w:rsidRPr="00C919B2">
        <w:rPr>
          <w:rFonts w:cs="Arial"/>
          <w:bCs/>
          <w:sz w:val="24"/>
          <w:vertAlign w:val="superscript"/>
        </w:rPr>
        <w:t>th</w:t>
      </w:r>
      <w:r w:rsidRPr="00032007">
        <w:rPr>
          <w:rFonts w:cs="Arial"/>
          <w:bCs/>
          <w:sz w:val="24"/>
        </w:rPr>
        <w:t>, 2018</w:t>
      </w:r>
    </w:p>
    <w:p w14:paraId="4E847B5D" w14:textId="77777777" w:rsidR="006B10EA" w:rsidRPr="00715AC5" w:rsidRDefault="006B10EA" w:rsidP="00CA26CE">
      <w:pPr>
        <w:pStyle w:val="Header"/>
        <w:rPr>
          <w:bCs/>
          <w:noProof w:val="0"/>
          <w:sz w:val="24"/>
          <w:lang w:eastAsia="ja-JP"/>
        </w:rPr>
      </w:pPr>
    </w:p>
    <w:p w14:paraId="08AC4AD5" w14:textId="56E399D8"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sidRPr="00772BF0">
        <w:rPr>
          <w:rFonts w:eastAsia="SimSun" w:cs="Arial"/>
          <w:b/>
          <w:bCs/>
          <w:sz w:val="24"/>
        </w:rPr>
        <w:t>7</w:t>
      </w:r>
      <w:r w:rsidR="00256B73" w:rsidRPr="00772BF0">
        <w:rPr>
          <w:rFonts w:eastAsia="SimSun" w:cs="Arial"/>
          <w:b/>
          <w:bCs/>
          <w:sz w:val="24"/>
        </w:rPr>
        <w:t>.</w:t>
      </w:r>
      <w:r w:rsidR="00B165B7">
        <w:rPr>
          <w:rFonts w:eastAsia="SimSun" w:cs="Arial"/>
          <w:b/>
          <w:bCs/>
          <w:sz w:val="24"/>
        </w:rPr>
        <w:t>2.2</w:t>
      </w:r>
      <w:r w:rsidR="006B10EA" w:rsidRPr="00772BF0">
        <w:rPr>
          <w:rFonts w:eastAsia="SimSun" w:cs="Arial"/>
          <w:b/>
          <w:bCs/>
          <w:sz w:val="24"/>
        </w:rPr>
        <w:t>.</w:t>
      </w:r>
      <w:r w:rsidR="00772BF0" w:rsidRPr="00772BF0">
        <w:rPr>
          <w:rFonts w:eastAsia="SimSun" w:cs="Arial"/>
          <w:b/>
          <w:bCs/>
          <w:sz w:val="24"/>
        </w:rPr>
        <w:t>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54A33B6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582ACE" w:rsidRPr="00147202">
        <w:rPr>
          <w:rFonts w:ascii="Arial" w:hAnsi="Arial" w:cs="Arial"/>
          <w:b/>
          <w:bCs/>
          <w:sz w:val="24"/>
        </w:rPr>
        <w:t>On Maximum TX Power for UL Interlace Structures</w:t>
      </w:r>
      <w:r w:rsidR="00582ACE" w:rsidRPr="00147202" w:rsidDel="00147202">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bookmarkStart w:id="0" w:name="_GoBack"/>
      <w:r w:rsidRPr="0016316A">
        <w:t>1</w:t>
      </w:r>
      <w:r w:rsidRPr="0016316A">
        <w:tab/>
      </w:r>
      <w:r w:rsidR="00EE7FA7" w:rsidRPr="0016316A">
        <w:t>Introduction</w:t>
      </w:r>
    </w:p>
    <w:bookmarkEnd w:id="0"/>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63201A22" w14:textId="676411CD" w:rsidR="00B42D9C" w:rsidRDefault="00B42D9C" w:rsidP="00B42D9C">
      <w:pPr>
        <w:pStyle w:val="bullet"/>
        <w:numPr>
          <w:ilvl w:val="0"/>
          <w:numId w:val="0"/>
        </w:numPr>
        <w:rPr>
          <w:rFonts w:cs="Arial"/>
        </w:rPr>
      </w:pPr>
      <w:r>
        <w:rPr>
          <w:rFonts w:cs="Arial"/>
        </w:rPr>
        <w:t>This contribution deals with interlace structures for NR-U. The following agreements were made in RAN1#93 [2]:</w:t>
      </w:r>
    </w:p>
    <w:p w14:paraId="08C5F3A6" w14:textId="77777777" w:rsidR="00B42D9C" w:rsidRDefault="00B42D9C" w:rsidP="00B42D9C">
      <w:pPr>
        <w:pStyle w:val="bullet"/>
        <w:numPr>
          <w:ilvl w:val="0"/>
          <w:numId w:val="0"/>
        </w:numPr>
        <w:rPr>
          <w:rFonts w:cs="Arial"/>
        </w:rPr>
      </w:pPr>
    </w:p>
    <w:p w14:paraId="66478EF1" w14:textId="2EE1CF33" w:rsidR="00B42D9C" w:rsidRDefault="00B42D9C" w:rsidP="00B42D9C">
      <w:pPr>
        <w:pStyle w:val="bullet"/>
        <w:numPr>
          <w:ilvl w:val="0"/>
          <w:numId w:val="0"/>
        </w:numPr>
      </w:pPr>
      <w:r w:rsidRPr="000957E0">
        <w:rPr>
          <w:highlight w:val="green"/>
        </w:rPr>
        <w:t>Agreement:</w:t>
      </w:r>
      <w:r>
        <w:t xml:space="preserve"> </w:t>
      </w:r>
    </w:p>
    <w:p w14:paraId="6243A6B7" w14:textId="77777777" w:rsidR="00B42D9C" w:rsidRPr="0048258E" w:rsidRDefault="00B42D9C" w:rsidP="00B42D9C">
      <w:pPr>
        <w:numPr>
          <w:ilvl w:val="0"/>
          <w:numId w:val="48"/>
        </w:numPr>
        <w:overflowPunct/>
        <w:autoSpaceDE/>
        <w:autoSpaceDN/>
        <w:adjustRightInd/>
        <w:spacing w:after="0"/>
        <w:textAlignment w:val="auto"/>
        <w:rPr>
          <w:i/>
          <w:lang w:eastAsia="x-none"/>
        </w:rPr>
      </w:pPr>
      <w:r w:rsidRPr="0048258E">
        <w:rPr>
          <w:i/>
          <w:lang w:eastAsia="x-none"/>
        </w:rPr>
        <w:t>An interlaced waveform can have benefits in some scenarios including</w:t>
      </w:r>
    </w:p>
    <w:p w14:paraId="585F9B49" w14:textId="77777777" w:rsidR="00B42D9C" w:rsidRPr="0048258E" w:rsidRDefault="00B42D9C" w:rsidP="00B42D9C">
      <w:pPr>
        <w:numPr>
          <w:ilvl w:val="1"/>
          <w:numId w:val="48"/>
        </w:numPr>
        <w:overflowPunct/>
        <w:autoSpaceDE/>
        <w:autoSpaceDN/>
        <w:adjustRightInd/>
        <w:spacing w:after="0"/>
        <w:textAlignment w:val="auto"/>
        <w:rPr>
          <w:i/>
          <w:lang w:eastAsia="x-none"/>
        </w:rPr>
      </w:pPr>
      <w:r w:rsidRPr="0048258E">
        <w:rPr>
          <w:i/>
        </w:rPr>
        <w:t>Link budget limited cases with given PSD constraint</w:t>
      </w:r>
    </w:p>
    <w:p w14:paraId="66D5336E" w14:textId="77777777" w:rsidR="00B42D9C" w:rsidRPr="0048258E" w:rsidRDefault="00B42D9C" w:rsidP="00B42D9C">
      <w:pPr>
        <w:numPr>
          <w:ilvl w:val="1"/>
          <w:numId w:val="48"/>
        </w:numPr>
        <w:overflowPunct/>
        <w:autoSpaceDE/>
        <w:autoSpaceDN/>
        <w:adjustRightInd/>
        <w:spacing w:after="0"/>
        <w:textAlignment w:val="auto"/>
        <w:rPr>
          <w:i/>
          <w:lang w:eastAsia="x-none"/>
        </w:rPr>
      </w:pPr>
      <w:r w:rsidRPr="0048258E">
        <w:rPr>
          <w:i/>
        </w:rPr>
        <w:t xml:space="preserve">As one option to efficiently meet the occupied channel bandwidth requirement. </w:t>
      </w:r>
    </w:p>
    <w:p w14:paraId="1C230317" w14:textId="77777777" w:rsidR="00B42D9C" w:rsidRPr="0048258E" w:rsidRDefault="00B42D9C" w:rsidP="00B42D9C">
      <w:pPr>
        <w:numPr>
          <w:ilvl w:val="0"/>
          <w:numId w:val="48"/>
        </w:numPr>
        <w:overflowPunct/>
        <w:autoSpaceDE/>
        <w:autoSpaceDN/>
        <w:adjustRightInd/>
        <w:spacing w:after="0"/>
        <w:textAlignment w:val="auto"/>
        <w:rPr>
          <w:i/>
          <w:lang w:eastAsia="x-none"/>
        </w:rPr>
      </w:pPr>
      <w:r w:rsidRPr="0048258E">
        <w:rPr>
          <w:i/>
          <w:lang w:eastAsia="x-none"/>
        </w:rPr>
        <w:t>A waveform contiguous in frequency may be adequate in some scenarios</w:t>
      </w:r>
    </w:p>
    <w:p w14:paraId="063A5410" w14:textId="77777777" w:rsidR="00B42D9C" w:rsidRPr="0048258E" w:rsidRDefault="00B42D9C" w:rsidP="00B42D9C">
      <w:pPr>
        <w:numPr>
          <w:ilvl w:val="1"/>
          <w:numId w:val="49"/>
        </w:numPr>
        <w:overflowPunct/>
        <w:autoSpaceDE/>
        <w:autoSpaceDN/>
        <w:adjustRightInd/>
        <w:spacing w:after="0"/>
        <w:textAlignment w:val="auto"/>
        <w:rPr>
          <w:i/>
          <w:lang w:eastAsia="x-none"/>
        </w:rPr>
      </w:pPr>
      <w:r w:rsidRPr="0048258E">
        <w:rPr>
          <w:i/>
        </w:rPr>
        <w:t>To inherit legacy contiguous allocation designs.</w:t>
      </w:r>
    </w:p>
    <w:p w14:paraId="06B7A0F7" w14:textId="77777777" w:rsidR="00B42D9C" w:rsidRDefault="00B42D9C" w:rsidP="00B42D9C">
      <w:pPr>
        <w:ind w:left="360"/>
        <w:rPr>
          <w:i/>
          <w:lang w:eastAsia="x-none"/>
        </w:rPr>
      </w:pPr>
      <w:r w:rsidRPr="0048258E">
        <w:rPr>
          <w:i/>
          <w:lang w:eastAsia="x-none"/>
        </w:rPr>
        <w:t>Note: It is RAN1’s understanding that the temporal allowance of not meeting occupied channel bandwidth by regulation can be exploited if the minimum bandwidth requirement, e.g., 2 MHz, is satisfied.</w:t>
      </w:r>
    </w:p>
    <w:p w14:paraId="708980B6" w14:textId="2C67FE25" w:rsidR="002D76C6" w:rsidRDefault="002D76C6" w:rsidP="002D76C6">
      <w:pPr>
        <w:jc w:val="both"/>
      </w:pPr>
      <w:r>
        <w:t xml:space="preserve">In this contribution we evaluate the maximum achievable UE Tx power for </w:t>
      </w:r>
      <w:r w:rsidR="00957709">
        <w:t xml:space="preserve">different interlace </w:t>
      </w:r>
      <w:r w:rsidR="00582ACE">
        <w:t>structures</w:t>
      </w:r>
      <w:r>
        <w:t>.</w:t>
      </w:r>
      <w:r w:rsidR="00EA1FAB">
        <w:t xml:space="preserve"> We discuss </w:t>
      </w:r>
      <w:r w:rsidR="00EA1FAB" w:rsidRPr="006B500F">
        <w:t xml:space="preserve">uplink signal and channel structures </w:t>
      </w:r>
      <w:r w:rsidR="00EA1FAB">
        <w:t>in more details in a</w:t>
      </w:r>
      <w:r w:rsidR="00EC7C6D">
        <w:t>n</w:t>
      </w:r>
      <w:r w:rsidR="00EA1FAB">
        <w:t xml:space="preserve"> </w:t>
      </w:r>
      <w:r w:rsidR="00EC7C6D">
        <w:t>ac</w:t>
      </w:r>
      <w:r w:rsidR="00EA1FAB">
        <w:t>company</w:t>
      </w:r>
      <w:r w:rsidR="00EC7C6D">
        <w:t>ing</w:t>
      </w:r>
      <w:r w:rsidR="00EA1FAB">
        <w:t xml:space="preserve"> contribution [</w:t>
      </w:r>
      <w:r w:rsidR="00B42D9C">
        <w:t>3</w:t>
      </w:r>
      <w:r w:rsidR="00EA1FAB">
        <w:t>].</w:t>
      </w:r>
    </w:p>
    <w:p w14:paraId="4190BD75" w14:textId="6A92F604" w:rsidR="00B53162" w:rsidRDefault="00B53162" w:rsidP="00B53162">
      <w:pPr>
        <w:pStyle w:val="Heading1"/>
        <w:rPr>
          <w:color w:val="000000"/>
        </w:rPr>
      </w:pPr>
      <w:r>
        <w:rPr>
          <w:color w:val="000000"/>
        </w:rPr>
        <w:t>2</w:t>
      </w:r>
      <w:r w:rsidRPr="00B85522">
        <w:rPr>
          <w:color w:val="000000"/>
        </w:rPr>
        <w:tab/>
      </w:r>
      <w:r w:rsidR="002D76C6">
        <w:t>NR interlace structures</w:t>
      </w:r>
    </w:p>
    <w:p w14:paraId="13908970" w14:textId="7BF423A2" w:rsidR="002D76C6" w:rsidRDefault="002D76C6" w:rsidP="002D76C6">
      <w:pPr>
        <w:jc w:val="both"/>
        <w:rPr>
          <w:rFonts w:cs="Arial"/>
        </w:rPr>
      </w:pPr>
      <w:r w:rsidRPr="00630F20">
        <w:rPr>
          <w:rFonts w:cs="Arial"/>
        </w:rPr>
        <w:t>Block Interleaved OFDMA (B-IFDMA) is the baseline transmission scheme used for uplink transmission</w:t>
      </w:r>
      <w:r>
        <w:rPr>
          <w:rFonts w:cs="Arial"/>
        </w:rPr>
        <w:t>s</w:t>
      </w:r>
      <w:r w:rsidRPr="00630F20">
        <w:rPr>
          <w:rFonts w:cs="Arial"/>
        </w:rPr>
        <w:t xml:space="preserve"> in </w:t>
      </w:r>
      <w:r>
        <w:rPr>
          <w:rFonts w:cs="Arial"/>
        </w:rPr>
        <w:t>LTE LAA</w:t>
      </w:r>
      <w:r w:rsidRPr="00630F20">
        <w:rPr>
          <w:rFonts w:cs="Arial"/>
        </w:rPr>
        <w:t>.</w:t>
      </w:r>
      <w:r>
        <w:rPr>
          <w:rFonts w:cs="Arial"/>
        </w:rPr>
        <w:t xml:space="preserve"> It is based on usage of 10 interlaces, each having 10 clusters with 1 PRB. We think that also in the NR, t</w:t>
      </w:r>
      <w:r w:rsidRPr="00CF4BC8">
        <w:rPr>
          <w:rFonts w:cs="Arial"/>
        </w:rPr>
        <w:t xml:space="preserve">here is a need to </w:t>
      </w:r>
      <w:r>
        <w:rPr>
          <w:rFonts w:cs="Arial"/>
        </w:rPr>
        <w:t>support interlace-based operation</w:t>
      </w:r>
      <w:r w:rsidRPr="00CF4BC8">
        <w:rPr>
          <w:rFonts w:cs="Arial"/>
        </w:rPr>
        <w:t xml:space="preserve"> to </w:t>
      </w:r>
      <w:r>
        <w:rPr>
          <w:rFonts w:cs="Arial"/>
        </w:rPr>
        <w:t>achieve sufficiently</w:t>
      </w:r>
      <w:r w:rsidRPr="00055EDA">
        <w:rPr>
          <w:rFonts w:cs="Arial"/>
        </w:rPr>
        <w:t xml:space="preserve"> high transmission power under PSD</w:t>
      </w:r>
      <w:r>
        <w:rPr>
          <w:rFonts w:cs="Arial"/>
        </w:rPr>
        <w:t xml:space="preserve"> limit</w:t>
      </w:r>
      <w:r w:rsidRPr="00055EDA">
        <w:rPr>
          <w:rFonts w:cs="Arial"/>
        </w:rPr>
        <w:t xml:space="preserve"> </w:t>
      </w:r>
      <w:r w:rsidRPr="00CF4BC8">
        <w:rPr>
          <w:rFonts w:cs="Arial"/>
        </w:rPr>
        <w:t>and</w:t>
      </w:r>
      <w:r>
        <w:rPr>
          <w:rFonts w:cs="Arial"/>
        </w:rPr>
        <w:t xml:space="preserve"> to meet regulatory rules defined</w:t>
      </w:r>
      <w:r w:rsidRPr="00CF4BC8">
        <w:rPr>
          <w:rFonts w:cs="Arial"/>
        </w:rPr>
        <w:t xml:space="preserve"> </w:t>
      </w:r>
      <w:r>
        <w:rPr>
          <w:rFonts w:cs="Arial"/>
        </w:rPr>
        <w:t xml:space="preserve">for </w:t>
      </w:r>
      <w:r w:rsidRPr="00CF4BC8">
        <w:rPr>
          <w:rFonts w:cs="Arial"/>
        </w:rPr>
        <w:t>occupied channel bandwidth</w:t>
      </w:r>
      <w:r>
        <w:rPr>
          <w:rFonts w:cs="Arial"/>
        </w:rPr>
        <w:t xml:space="preserve">. The NR solution needs to be designed to support for multiple numerologies as well as wideband operation. We think that interlace based transmission needs to be supported by all numerology options defined for NR-U at least for the scenarios </w:t>
      </w:r>
      <w:r w:rsidR="00B42D9C">
        <w:rPr>
          <w:rFonts w:cs="Arial"/>
        </w:rPr>
        <w:t>below</w:t>
      </w:r>
      <w:r>
        <w:rPr>
          <w:rFonts w:cs="Arial"/>
        </w:rPr>
        <w:t xml:space="preserve"> </w:t>
      </w:r>
      <w:r w:rsidR="00B42D9C">
        <w:rPr>
          <w:rFonts w:cs="Arial"/>
        </w:rPr>
        <w:t>7</w:t>
      </w:r>
      <w:r>
        <w:rPr>
          <w:rFonts w:cs="Arial"/>
        </w:rPr>
        <w:t xml:space="preserve"> GHz. </w:t>
      </w:r>
    </w:p>
    <w:p w14:paraId="2AF55B9D" w14:textId="77777777" w:rsidR="002D76C6" w:rsidRPr="00FD57D9" w:rsidRDefault="002D76C6" w:rsidP="002D76C6">
      <w:pPr>
        <w:spacing w:after="0"/>
        <w:jc w:val="both"/>
        <w:rPr>
          <w:lang w:val="en-US"/>
        </w:rPr>
      </w:pPr>
      <w:r w:rsidRPr="00036D13">
        <w:rPr>
          <w:lang w:val="en-US"/>
        </w:rPr>
        <w:t>It was agreed in RAN1#92bis that “</w:t>
      </w:r>
      <w:r w:rsidRPr="320AFB50">
        <w:rPr>
          <w:i/>
          <w:iCs/>
          <w:lang w:val="en-US"/>
        </w:rPr>
        <w:t>At least for band where absence of Wi-Fi cannot be guaranteed (e.g. by regulation), LBT can be performed in units of 20 MHz</w:t>
      </w:r>
      <w:r w:rsidRPr="00036D13">
        <w:rPr>
          <w:lang w:val="en-US"/>
        </w:rPr>
        <w:t xml:space="preserve">”. This indicates that in the case of wideband operation, frequency domain resources may be allocated with the granularity of 20 </w:t>
      </w:r>
      <w:proofErr w:type="spellStart"/>
      <w:r w:rsidRPr="00036D13">
        <w:rPr>
          <w:lang w:val="en-US"/>
        </w:rPr>
        <w:t>MHz.</w:t>
      </w:r>
      <w:proofErr w:type="spellEnd"/>
      <w:r w:rsidRPr="00036D13">
        <w:rPr>
          <w:lang w:val="en-US"/>
        </w:rPr>
        <w:t xml:space="preserve"> </w:t>
      </w:r>
      <w:proofErr w:type="gramStart"/>
      <w:r w:rsidRPr="00036D13">
        <w:rPr>
          <w:lang w:val="en-US"/>
        </w:rPr>
        <w:t>In order to</w:t>
      </w:r>
      <w:proofErr w:type="gramEnd"/>
      <w:r w:rsidRPr="00036D13">
        <w:rPr>
          <w:lang w:val="en-US"/>
        </w:rPr>
        <w:t xml:space="preserve"> minimize the spectrum fragmentation, it may be preferable to concentrate all interlace -based transmissions (such as PUSCH with small data rate and long PUCCH) within one 20 MHz sub-band. This maximizes the opportunities for localized (wideband) transmission for other portions of the wideband carrier (including guard band between different 20 MHz sub-bands). On the other hand, interlace structure </w:t>
      </w:r>
      <w:r w:rsidRPr="00BD3FD0">
        <w:rPr>
          <w:lang w:val="en-US"/>
        </w:rPr>
        <w:t xml:space="preserve">with 20 MHz bandwidth can already fulfill the regulatory rules related </w:t>
      </w:r>
      <w:r>
        <w:rPr>
          <w:lang w:val="en-US"/>
        </w:rPr>
        <w:t xml:space="preserve">to </w:t>
      </w:r>
      <w:r w:rsidRPr="00BD3FD0">
        <w:rPr>
          <w:lang w:val="en-US"/>
        </w:rPr>
        <w:t>OCB</w:t>
      </w:r>
      <w:r>
        <w:rPr>
          <w:lang w:val="en-US"/>
        </w:rPr>
        <w:t>, and provide sufficient transmission power under constrained PSD</w:t>
      </w:r>
      <w:r w:rsidRPr="00BD3FD0">
        <w:rPr>
          <w:lang w:val="en-US"/>
        </w:rPr>
        <w:t xml:space="preserve">. </w:t>
      </w:r>
    </w:p>
    <w:p w14:paraId="21C86C48" w14:textId="77777777" w:rsidR="002D76C6" w:rsidRDefault="002D76C6" w:rsidP="002D76C6">
      <w:pPr>
        <w:spacing w:after="0"/>
        <w:jc w:val="both"/>
        <w:rPr>
          <w:iCs/>
          <w:lang w:val="en-US"/>
        </w:rPr>
      </w:pPr>
    </w:p>
    <w:p w14:paraId="01B8E900" w14:textId="42B2D19C" w:rsidR="002D76C6" w:rsidRPr="00FD57D9" w:rsidRDefault="002D76C6" w:rsidP="002D76C6">
      <w:pPr>
        <w:spacing w:after="0"/>
        <w:jc w:val="both"/>
        <w:rPr>
          <w:i/>
          <w:iCs/>
          <w:lang w:val="en-US"/>
        </w:rPr>
      </w:pPr>
      <w:r w:rsidRPr="00FD57D9">
        <w:rPr>
          <w:b/>
          <w:bCs/>
          <w:i/>
          <w:iCs/>
          <w:lang w:val="en-US"/>
        </w:rPr>
        <w:t xml:space="preserve">Proposal </w:t>
      </w:r>
      <w:r w:rsidR="004905BA">
        <w:rPr>
          <w:b/>
          <w:bCs/>
          <w:i/>
          <w:iCs/>
          <w:lang w:val="en-US"/>
        </w:rPr>
        <w:t>1</w:t>
      </w:r>
      <w:r w:rsidRPr="00FD57D9">
        <w:rPr>
          <w:b/>
          <w:bCs/>
          <w:i/>
          <w:iCs/>
          <w:lang w:val="en-US"/>
        </w:rPr>
        <w:t xml:space="preserve">: </w:t>
      </w:r>
      <w:r w:rsidRPr="00FD57D9">
        <w:rPr>
          <w:i/>
          <w:iCs/>
          <w:lang w:val="en-US"/>
        </w:rPr>
        <w:t>Interlace based transmission needs to be supported by all numerology options defined for NR-U and 5 GHz scenario.</w:t>
      </w:r>
    </w:p>
    <w:p w14:paraId="2DCF613E" w14:textId="612032E6" w:rsidR="002D76C6" w:rsidRPr="00FD57D9" w:rsidRDefault="002D76C6" w:rsidP="002D76C6">
      <w:pPr>
        <w:spacing w:after="0"/>
        <w:jc w:val="both"/>
        <w:rPr>
          <w:i/>
          <w:iCs/>
          <w:lang w:val="en-US"/>
        </w:rPr>
      </w:pPr>
      <w:r w:rsidRPr="57A2373E">
        <w:rPr>
          <w:b/>
          <w:bCs/>
          <w:i/>
          <w:iCs/>
          <w:lang w:val="en-US"/>
        </w:rPr>
        <w:t xml:space="preserve">Proposal </w:t>
      </w:r>
      <w:r w:rsidR="004905BA">
        <w:rPr>
          <w:b/>
          <w:bCs/>
          <w:i/>
          <w:iCs/>
          <w:lang w:val="en-US"/>
        </w:rPr>
        <w:t>2</w:t>
      </w:r>
      <w:r w:rsidRPr="57A2373E">
        <w:rPr>
          <w:b/>
          <w:bCs/>
          <w:i/>
          <w:iCs/>
          <w:lang w:val="en-US"/>
        </w:rPr>
        <w:t xml:space="preserve">: </w:t>
      </w:r>
      <w:r w:rsidRPr="57A2373E">
        <w:rPr>
          <w:i/>
          <w:iCs/>
          <w:lang w:val="en-US"/>
        </w:rPr>
        <w:t>NR interlace structure is designed for 20 MHz sub-band.</w:t>
      </w:r>
    </w:p>
    <w:p w14:paraId="07D262DE" w14:textId="77777777" w:rsidR="002D76C6" w:rsidRDefault="002D76C6" w:rsidP="002D76C6">
      <w:pPr>
        <w:spacing w:after="0"/>
        <w:jc w:val="both"/>
        <w:rPr>
          <w:rFonts w:eastAsia="Batang"/>
          <w:iCs/>
          <w:kern w:val="2"/>
          <w:sz w:val="22"/>
          <w:szCs w:val="24"/>
          <w:lang w:val="en-US" w:eastAsia="ko-KR"/>
        </w:rPr>
      </w:pPr>
    </w:p>
    <w:p w14:paraId="2D2792E0" w14:textId="77777777" w:rsidR="002D76C6" w:rsidRPr="00FD57D9" w:rsidRDefault="002D76C6" w:rsidP="002D76C6">
      <w:pPr>
        <w:spacing w:after="0"/>
        <w:jc w:val="both"/>
        <w:rPr>
          <w:b/>
          <w:bCs/>
          <w:lang w:val="en-US"/>
        </w:rPr>
      </w:pPr>
      <w:r w:rsidRPr="00FD57D9">
        <w:rPr>
          <w:rFonts w:eastAsia="Batang"/>
          <w:b/>
          <w:bCs/>
          <w:kern w:val="2"/>
          <w:sz w:val="22"/>
          <w:szCs w:val="22"/>
          <w:lang w:val="en-US" w:eastAsia="ko-KR"/>
        </w:rPr>
        <w:t xml:space="preserve">Interlace design for 20 MHz sub-band: </w:t>
      </w:r>
    </w:p>
    <w:p w14:paraId="623A6600" w14:textId="77777777" w:rsidR="002D76C6" w:rsidRPr="00D7439B" w:rsidRDefault="002D76C6" w:rsidP="002D76C6">
      <w:pPr>
        <w:pStyle w:val="LGTdoc"/>
        <w:spacing w:afterLines="0" w:after="0" w:line="240" w:lineRule="auto"/>
        <w:rPr>
          <w:rFonts w:eastAsia="SimSun"/>
          <w:sz w:val="20"/>
          <w:szCs w:val="20"/>
          <w:lang w:val="en-US" w:eastAsia="zh-CN"/>
        </w:rPr>
      </w:pPr>
    </w:p>
    <w:p w14:paraId="75680AE7"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When the subcarrier spacing increases, the number of PRBs per given frequency band decreases. For example, with 60 kHz SCS, the number of PRBs available per 20 MHz sub-band is around 24. In this scenario, it is not possible to have an </w:t>
      </w:r>
      <w:proofErr w:type="spellStart"/>
      <w:r>
        <w:rPr>
          <w:rFonts w:eastAsia="SimSun"/>
          <w:sz w:val="20"/>
          <w:szCs w:val="20"/>
          <w:lang w:eastAsia="zh-CN"/>
        </w:rPr>
        <w:t>interlace</w:t>
      </w:r>
      <w:proofErr w:type="spellEnd"/>
      <w:r>
        <w:rPr>
          <w:rFonts w:eastAsia="SimSun"/>
          <w:sz w:val="20"/>
          <w:szCs w:val="20"/>
          <w:lang w:eastAsia="zh-CN"/>
        </w:rPr>
        <w:t xml:space="preserve"> design fulfilling the OCB rule, and providing at the same time sufficient multiplexing capacity with a design based on cluster size of 1 PRB. Hence, in these cases, interlace design must be based on usage of partial PRBs. Otherwise, either Tx power and/or multiplexing capacity is not sufficient. </w:t>
      </w:r>
    </w:p>
    <w:p w14:paraId="33773841" w14:textId="77777777" w:rsidR="002D76C6" w:rsidRDefault="002D76C6" w:rsidP="002D76C6">
      <w:pPr>
        <w:spacing w:after="0"/>
        <w:jc w:val="both"/>
        <w:rPr>
          <w:b/>
          <w:i/>
          <w:lang w:val="en-US" w:eastAsia="x-none"/>
        </w:rPr>
      </w:pPr>
    </w:p>
    <w:p w14:paraId="7FB5E4A9" w14:textId="2B4D8A9B" w:rsidR="002D76C6" w:rsidRPr="00FD57D9" w:rsidRDefault="002D76C6" w:rsidP="002D76C6">
      <w:pPr>
        <w:spacing w:after="0"/>
        <w:jc w:val="both"/>
        <w:rPr>
          <w:i/>
          <w:iCs/>
          <w:lang w:val="en-US"/>
        </w:rPr>
      </w:pPr>
      <w:r w:rsidRPr="00FD57D9">
        <w:rPr>
          <w:b/>
          <w:bCs/>
          <w:i/>
          <w:iCs/>
          <w:lang w:val="en-US"/>
        </w:rPr>
        <w:lastRenderedPageBreak/>
        <w:t xml:space="preserve">Proposal </w:t>
      </w:r>
      <w:r w:rsidR="004905BA">
        <w:rPr>
          <w:b/>
          <w:bCs/>
          <w:i/>
          <w:iCs/>
          <w:lang w:val="en-US"/>
        </w:rPr>
        <w:t>3</w:t>
      </w:r>
      <w:r w:rsidRPr="00FD57D9">
        <w:rPr>
          <w:b/>
          <w:bCs/>
          <w:i/>
          <w:iCs/>
          <w:lang w:val="en-US"/>
        </w:rPr>
        <w:t xml:space="preserve">: </w:t>
      </w:r>
      <w:r w:rsidRPr="00FD57D9">
        <w:rPr>
          <w:i/>
          <w:iCs/>
          <w:lang w:val="en-US"/>
        </w:rPr>
        <w:t>Support interlace structure where cluster size is a fraction of PRB.</w:t>
      </w:r>
    </w:p>
    <w:p w14:paraId="00121971" w14:textId="77777777" w:rsidR="002D76C6" w:rsidRDefault="002D76C6" w:rsidP="002D76C6">
      <w:pPr>
        <w:spacing w:after="0"/>
        <w:jc w:val="both"/>
        <w:rPr>
          <w:i/>
          <w:lang w:val="en-US" w:eastAsia="x-none"/>
        </w:rPr>
      </w:pPr>
    </w:p>
    <w:p w14:paraId="5166A2D8" w14:textId="77777777" w:rsidR="002D76C6" w:rsidRDefault="002D76C6" w:rsidP="002D76C6">
      <w:pPr>
        <w:spacing w:after="0"/>
        <w:jc w:val="both"/>
        <w:rPr>
          <w:lang w:eastAsia="zh-CN"/>
        </w:rPr>
      </w:pPr>
      <w:r>
        <w:rPr>
          <w:rFonts w:cs="Arial"/>
        </w:rPr>
        <w:t xml:space="preserve">In the APPENDIX, we consider two interlace design options applicable to 20 MHz sub-band(s) and 5 GHz band. </w:t>
      </w:r>
      <w:r>
        <w:rPr>
          <w:lang w:eastAsia="zh-CN"/>
        </w:rPr>
        <w:t xml:space="preserve">There are a few issues to be considered when defining parametrization for the interlaces. Those include e.g. </w:t>
      </w:r>
    </w:p>
    <w:p w14:paraId="69822B68" w14:textId="77777777" w:rsidR="002D76C6" w:rsidRPr="00877C2D" w:rsidRDefault="002D76C6" w:rsidP="002D76C6">
      <w:pPr>
        <w:pStyle w:val="LGTdoc"/>
        <w:numPr>
          <w:ilvl w:val="0"/>
          <w:numId w:val="37"/>
        </w:numPr>
        <w:spacing w:afterLines="0" w:after="0" w:line="240" w:lineRule="auto"/>
        <w:rPr>
          <w:rFonts w:eastAsia="SimSun"/>
          <w:sz w:val="20"/>
          <w:szCs w:val="20"/>
          <w:lang w:eastAsia="zh-CN"/>
        </w:rPr>
      </w:pPr>
      <w:r w:rsidRPr="00877C2D">
        <w:rPr>
          <w:rFonts w:eastAsia="SimSun"/>
          <w:sz w:val="20"/>
          <w:szCs w:val="20"/>
          <w:lang w:eastAsia="zh-CN"/>
        </w:rPr>
        <w:t xml:space="preserve">Multiplexing capacity, </w:t>
      </w:r>
      <w:r>
        <w:rPr>
          <w:rFonts w:eastAsia="SimSun"/>
          <w:sz w:val="20"/>
          <w:szCs w:val="20"/>
          <w:lang w:eastAsia="zh-CN"/>
        </w:rPr>
        <w:t>r</w:t>
      </w:r>
      <w:r w:rsidRPr="00877C2D">
        <w:rPr>
          <w:rFonts w:eastAsia="SimSun"/>
          <w:sz w:val="20"/>
          <w:szCs w:val="20"/>
          <w:lang w:eastAsia="zh-CN"/>
        </w:rPr>
        <w:t>esource allocation granularity</w:t>
      </w:r>
    </w:p>
    <w:p w14:paraId="41C834AF" w14:textId="77777777" w:rsidR="002D76C6" w:rsidRDefault="002D76C6" w:rsidP="002D76C6">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Support for numerology options [15, 30, 60] kHz</w:t>
      </w:r>
    </w:p>
    <w:p w14:paraId="3899F9BD" w14:textId="77777777" w:rsidR="002D76C6" w:rsidRDefault="002D76C6" w:rsidP="002D76C6">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Compatibility for OCB rule</w:t>
      </w:r>
    </w:p>
    <w:p w14:paraId="060E8B2D" w14:textId="77777777" w:rsidR="002D76C6" w:rsidRDefault="002D76C6" w:rsidP="002D76C6">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Maximum transmit power under PSD limit.</w:t>
      </w:r>
    </w:p>
    <w:p w14:paraId="76FDE3B5" w14:textId="77777777" w:rsidR="002D76C6" w:rsidRPr="00D61E9A" w:rsidRDefault="002D76C6" w:rsidP="002D76C6">
      <w:pPr>
        <w:spacing w:after="0"/>
        <w:jc w:val="both"/>
        <w:rPr>
          <w:i/>
          <w:lang w:eastAsia="x-none"/>
        </w:rPr>
      </w:pPr>
    </w:p>
    <w:p w14:paraId="051596F6" w14:textId="77777777" w:rsidR="002D76C6" w:rsidRPr="00FD57D9" w:rsidRDefault="002D76C6" w:rsidP="002D76C6">
      <w:pPr>
        <w:spacing w:after="0"/>
        <w:jc w:val="both"/>
        <w:rPr>
          <w:lang w:val="en-US"/>
        </w:rPr>
      </w:pPr>
      <w:r w:rsidRPr="00FD57D9">
        <w:rPr>
          <w:lang w:val="en-US"/>
        </w:rPr>
        <w:t>Based on the discussion in the APPENDIX we make the following proposal:</w:t>
      </w:r>
    </w:p>
    <w:p w14:paraId="23BE0047" w14:textId="77777777" w:rsidR="002D76C6" w:rsidRDefault="002D76C6" w:rsidP="002D76C6">
      <w:pPr>
        <w:spacing w:after="0"/>
        <w:jc w:val="both"/>
        <w:rPr>
          <w:b/>
          <w:bCs/>
          <w:i/>
          <w:iCs/>
          <w:lang w:val="en-US"/>
        </w:rPr>
      </w:pPr>
    </w:p>
    <w:p w14:paraId="4B1D6FEB" w14:textId="58CB291C" w:rsidR="002D76C6" w:rsidRPr="00FD57D9" w:rsidRDefault="002D76C6" w:rsidP="002D76C6">
      <w:pPr>
        <w:spacing w:after="0"/>
        <w:jc w:val="both"/>
        <w:rPr>
          <w:i/>
          <w:iCs/>
          <w:lang w:val="en-US"/>
        </w:rPr>
      </w:pPr>
      <w:r w:rsidRPr="00FD57D9">
        <w:rPr>
          <w:b/>
          <w:bCs/>
          <w:i/>
          <w:iCs/>
          <w:lang w:val="en-US"/>
        </w:rPr>
        <w:t xml:space="preserve">Proposal </w:t>
      </w:r>
      <w:r w:rsidR="004905BA">
        <w:rPr>
          <w:b/>
          <w:bCs/>
          <w:i/>
          <w:iCs/>
          <w:lang w:val="en-US"/>
        </w:rPr>
        <w:t>4</w:t>
      </w:r>
      <w:r w:rsidRPr="00FD57D9">
        <w:rPr>
          <w:b/>
          <w:bCs/>
          <w:i/>
          <w:iCs/>
          <w:lang w:val="en-US"/>
        </w:rPr>
        <w:t xml:space="preserve">: </w:t>
      </w:r>
      <w:r w:rsidRPr="00FD57D9">
        <w:rPr>
          <w:i/>
          <w:iCs/>
          <w:lang w:val="en-US"/>
        </w:rPr>
        <w:t>Consider the following interlace structures for NR-U operating at 5 GHz spectrum and 20 MHz sub-band:</w:t>
      </w:r>
    </w:p>
    <w:p w14:paraId="435B7931" w14:textId="77777777" w:rsidR="002D76C6" w:rsidRPr="00FD57D9" w:rsidRDefault="002D76C6" w:rsidP="002D76C6">
      <w:pPr>
        <w:pStyle w:val="ListParagraph"/>
        <w:numPr>
          <w:ilvl w:val="0"/>
          <w:numId w:val="41"/>
        </w:numPr>
        <w:jc w:val="both"/>
        <w:rPr>
          <w:i/>
          <w:iCs/>
          <w:sz w:val="20"/>
          <w:szCs w:val="20"/>
          <w:lang w:val="en-US"/>
        </w:rPr>
      </w:pPr>
      <w:r w:rsidRPr="57A2373E">
        <w:rPr>
          <w:rFonts w:cs="Arial"/>
          <w:i/>
          <w:iCs/>
          <w:sz w:val="20"/>
          <w:szCs w:val="20"/>
          <w:lang w:val="en-US"/>
        </w:rPr>
        <w:t>Option 1: 10 interlaces, each having 10 equally-spaced clusters of 180 kHz</w:t>
      </w:r>
    </w:p>
    <w:p w14:paraId="27451914" w14:textId="010E347C" w:rsidR="002D76C6" w:rsidRDefault="002D76C6" w:rsidP="002D76C6">
      <w:pPr>
        <w:pStyle w:val="ListParagraph"/>
        <w:numPr>
          <w:ilvl w:val="0"/>
          <w:numId w:val="41"/>
        </w:numPr>
        <w:jc w:val="both"/>
        <w:rPr>
          <w:rFonts w:cs="Arial"/>
          <w:i/>
          <w:iCs/>
          <w:sz w:val="20"/>
          <w:szCs w:val="20"/>
          <w:lang w:val="en-US"/>
        </w:rPr>
      </w:pPr>
      <w:r w:rsidRPr="57A2373E">
        <w:rPr>
          <w:rFonts w:cs="Arial"/>
          <w:i/>
          <w:iCs/>
          <w:sz w:val="20"/>
          <w:szCs w:val="20"/>
          <w:lang w:val="en-US"/>
        </w:rPr>
        <w:t>Option 2: 6 interlaces, each having 12 equally-spaced clusters of 240 kHz</w:t>
      </w:r>
      <w:r w:rsidR="00E15935">
        <w:rPr>
          <w:rFonts w:cs="Arial"/>
          <w:i/>
          <w:iCs/>
          <w:sz w:val="20"/>
          <w:szCs w:val="20"/>
          <w:lang w:val="en-US"/>
        </w:rPr>
        <w:t>.</w:t>
      </w:r>
    </w:p>
    <w:p w14:paraId="5F9CA582" w14:textId="77777777" w:rsidR="002D76C6" w:rsidRPr="00FD57D9" w:rsidRDefault="002D76C6" w:rsidP="002D76C6">
      <w:pPr>
        <w:pStyle w:val="ListParagraph"/>
        <w:jc w:val="both"/>
        <w:rPr>
          <w:rFonts w:cs="Arial"/>
          <w:i/>
          <w:iCs/>
          <w:sz w:val="20"/>
          <w:szCs w:val="20"/>
          <w:lang w:val="en-US"/>
        </w:rPr>
      </w:pPr>
    </w:p>
    <w:p w14:paraId="5CC1B524" w14:textId="0E89BAB0" w:rsidR="00186C5C" w:rsidRPr="001F28AA" w:rsidRDefault="002D76C6" w:rsidP="00186C5C">
      <w:pPr>
        <w:pStyle w:val="Heading1"/>
      </w:pPr>
      <w:r>
        <w:rPr>
          <w:color w:val="000000"/>
        </w:rPr>
        <w:t>3</w:t>
      </w:r>
      <w:r w:rsidR="00186C5C" w:rsidRPr="00A51522">
        <w:rPr>
          <w:color w:val="000000"/>
        </w:rPr>
        <w:tab/>
      </w:r>
      <w:r>
        <w:t>Simulation results</w:t>
      </w:r>
    </w:p>
    <w:p w14:paraId="1BF1E24D" w14:textId="6428C0BE" w:rsidR="005C4E25" w:rsidRDefault="005C4E25" w:rsidP="005C4E25">
      <w:pPr>
        <w:spacing w:after="0"/>
      </w:pPr>
      <w:r>
        <w:rPr>
          <w:lang w:val="en-US"/>
        </w:rPr>
        <w:t xml:space="preserve">In the following we investigate the maximum achievable Tx power for </w:t>
      </w:r>
      <w:r w:rsidR="00957709">
        <w:rPr>
          <w:lang w:val="en-US"/>
        </w:rPr>
        <w:t>different interlace structures. We focus on the interlace structures according to</w:t>
      </w:r>
      <w:r>
        <w:t xml:space="preserve"> option 1</w:t>
      </w:r>
      <w:r w:rsidR="00957709">
        <w:t xml:space="preserve"> in the APPENDIX</w:t>
      </w:r>
      <w:r>
        <w:t>. Figure 1 below shows the four simulation cases:</w:t>
      </w:r>
    </w:p>
    <w:p w14:paraId="703E1EB7" w14:textId="3F3520DA" w:rsidR="005C4E25" w:rsidRDefault="005C4E25" w:rsidP="005C4E25">
      <w:pPr>
        <w:pStyle w:val="ListParagraph"/>
        <w:numPr>
          <w:ilvl w:val="0"/>
          <w:numId w:val="42"/>
        </w:numPr>
        <w:rPr>
          <w:sz w:val="20"/>
          <w:lang w:val="en-US"/>
        </w:rPr>
      </w:pPr>
      <w:r>
        <w:rPr>
          <w:sz w:val="20"/>
          <w:lang w:val="en-US"/>
        </w:rPr>
        <w:t>Subcarrier spacing: [15, 30] kHz</w:t>
      </w:r>
    </w:p>
    <w:p w14:paraId="743A1333" w14:textId="7DBC7581" w:rsidR="005C4E25" w:rsidRDefault="005C4E25" w:rsidP="005C4E25">
      <w:pPr>
        <w:pStyle w:val="ListParagraph"/>
        <w:numPr>
          <w:ilvl w:val="0"/>
          <w:numId w:val="42"/>
        </w:numPr>
        <w:rPr>
          <w:sz w:val="20"/>
          <w:lang w:val="en-US"/>
        </w:rPr>
      </w:pPr>
      <w:r>
        <w:rPr>
          <w:sz w:val="20"/>
          <w:lang w:val="en-US"/>
        </w:rPr>
        <w:t>Cluster size: 1 PRB</w:t>
      </w:r>
    </w:p>
    <w:p w14:paraId="41F4D757" w14:textId="201F909A" w:rsidR="005C4E25" w:rsidRDefault="005C4E25" w:rsidP="005C4E25">
      <w:pPr>
        <w:pStyle w:val="ListParagraph"/>
        <w:numPr>
          <w:ilvl w:val="0"/>
          <w:numId w:val="42"/>
        </w:numPr>
        <w:rPr>
          <w:sz w:val="20"/>
          <w:lang w:val="en-US"/>
        </w:rPr>
      </w:pPr>
      <w:r>
        <w:rPr>
          <w:sz w:val="20"/>
          <w:lang w:val="en-US"/>
        </w:rPr>
        <w:t>Number of interlaces:</w:t>
      </w:r>
    </w:p>
    <w:p w14:paraId="529C5CF4" w14:textId="75FB1A31" w:rsidR="005C4E25" w:rsidRDefault="005C4E25" w:rsidP="005C4E25">
      <w:pPr>
        <w:pStyle w:val="ListParagraph"/>
        <w:numPr>
          <w:ilvl w:val="1"/>
          <w:numId w:val="42"/>
        </w:numPr>
        <w:rPr>
          <w:sz w:val="20"/>
          <w:lang w:val="en-US"/>
        </w:rPr>
      </w:pPr>
      <w:r>
        <w:rPr>
          <w:sz w:val="20"/>
          <w:lang w:val="en-US"/>
        </w:rPr>
        <w:t xml:space="preserve">15 kHz: 10 interlaces, each having 10 equally spaced clusters </w:t>
      </w:r>
    </w:p>
    <w:p w14:paraId="0AF5C3F2" w14:textId="324CC874" w:rsidR="005C4E25" w:rsidRPr="005C4E25" w:rsidRDefault="005C4E25" w:rsidP="005C4E25">
      <w:pPr>
        <w:pStyle w:val="ListParagraph"/>
        <w:numPr>
          <w:ilvl w:val="1"/>
          <w:numId w:val="42"/>
        </w:numPr>
        <w:rPr>
          <w:sz w:val="20"/>
          <w:lang w:val="en-US"/>
        </w:rPr>
      </w:pPr>
      <w:r>
        <w:rPr>
          <w:sz w:val="20"/>
          <w:lang w:val="en-US"/>
        </w:rPr>
        <w:t>30 kHz: 5 interlaces, each having 10 equally spaced clusters</w:t>
      </w:r>
      <w:r w:rsidR="00582ACE">
        <w:rPr>
          <w:sz w:val="20"/>
          <w:lang w:val="en-US"/>
        </w:rPr>
        <w:t>.</w:t>
      </w:r>
    </w:p>
    <w:p w14:paraId="6E6B14B3" w14:textId="77777777" w:rsidR="005C4E25" w:rsidRDefault="005C4E25" w:rsidP="00FA447A">
      <w:pPr>
        <w:rPr>
          <w:lang w:val="en-US"/>
        </w:rPr>
      </w:pPr>
    </w:p>
    <w:p w14:paraId="56CC262B" w14:textId="277CDCDA" w:rsidR="002D76C6" w:rsidRDefault="005C4E25" w:rsidP="002D76C6">
      <w:pPr>
        <w:keepNext/>
      </w:pPr>
      <w:r w:rsidRPr="005C4E25">
        <w:rPr>
          <w:noProof/>
        </w:rPr>
        <w:drawing>
          <wp:inline distT="0" distB="0" distL="0" distR="0" wp14:anchorId="2D434CDD" wp14:editId="6E1EA02F">
            <wp:extent cx="6210935" cy="1553756"/>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935" cy="1553756"/>
                    </a:xfrm>
                    <a:prstGeom prst="rect">
                      <a:avLst/>
                    </a:prstGeom>
                    <a:noFill/>
                    <a:ln>
                      <a:noFill/>
                    </a:ln>
                  </pic:spPr>
                </pic:pic>
              </a:graphicData>
            </a:graphic>
          </wp:inline>
        </w:drawing>
      </w:r>
    </w:p>
    <w:p w14:paraId="17B04F87" w14:textId="6F9B2D2A" w:rsidR="002D76C6" w:rsidRDefault="002D76C6" w:rsidP="005C4E2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005C4E25">
        <w:t>. Simulation cases</w:t>
      </w:r>
      <w:r w:rsidR="00582ACE">
        <w:t>.</w:t>
      </w:r>
    </w:p>
    <w:p w14:paraId="59579B04" w14:textId="77777777" w:rsidR="005C4E25" w:rsidRDefault="005C4E25" w:rsidP="00FA447A">
      <w:pPr>
        <w:rPr>
          <w:lang w:val="en-US"/>
        </w:rPr>
      </w:pPr>
    </w:p>
    <w:p w14:paraId="4FCE1332" w14:textId="678EFB08" w:rsidR="001D52A1" w:rsidRDefault="005C4E25" w:rsidP="00FA447A">
      <w:pPr>
        <w:rPr>
          <w:lang w:val="en-US"/>
        </w:rPr>
      </w:pPr>
      <w:r>
        <w:rPr>
          <w:lang w:val="en-US"/>
        </w:rPr>
        <w:t xml:space="preserve">In the simulations, we consider both </w:t>
      </w:r>
      <w:r w:rsidR="00582ACE" w:rsidRPr="00FA447A">
        <w:rPr>
          <w:lang w:val="en-US"/>
        </w:rPr>
        <w:t>CP</w:t>
      </w:r>
      <w:r w:rsidR="00582ACE">
        <w:rPr>
          <w:lang w:val="en-US"/>
        </w:rPr>
        <w:t>-</w:t>
      </w:r>
      <w:r w:rsidR="00FA447A" w:rsidRPr="00FA447A">
        <w:rPr>
          <w:lang w:val="en-US"/>
        </w:rPr>
        <w:t>OFDM and DFT-S-OFDM</w:t>
      </w:r>
      <w:r>
        <w:rPr>
          <w:lang w:val="en-US"/>
        </w:rPr>
        <w:t xml:space="preserve"> waveforms. </w:t>
      </w:r>
      <w:r w:rsidR="001D52A1">
        <w:rPr>
          <w:lang w:val="en-US"/>
        </w:rPr>
        <w:t>The simulation assumptions are according to RAN4 minimum requirements and RF impairments that have been used for NR. The Power Amplifier model is based on a measured PA</w:t>
      </w:r>
      <w:r w:rsidR="00DB09E2">
        <w:rPr>
          <w:lang w:val="en-US"/>
        </w:rPr>
        <w:t xml:space="preserve">. </w:t>
      </w:r>
    </w:p>
    <w:p w14:paraId="0AE67188" w14:textId="2A10AF61" w:rsidR="001B55D8" w:rsidRDefault="00582ACE" w:rsidP="001B55D8">
      <w:pPr>
        <w:rPr>
          <w:lang w:val="en-US"/>
        </w:rPr>
      </w:pPr>
      <w:r>
        <w:rPr>
          <w:lang w:val="en-US"/>
        </w:rPr>
        <w:t>Figure 2 shows</w:t>
      </w:r>
      <w:r w:rsidR="00687B00">
        <w:rPr>
          <w:lang w:val="en-US"/>
        </w:rPr>
        <w:t xml:space="preserve"> a spectrum emission simulation with CP-OFDM, 30 kHz SCS, and QPSK modulation, against the ETSI emission mask and 10 dBm/MHz PSD limit</w:t>
      </w:r>
      <w:r>
        <w:rPr>
          <w:lang w:val="en-US"/>
        </w:rPr>
        <w:t>.</w:t>
      </w:r>
      <w:r w:rsidR="001B55D8">
        <w:rPr>
          <w:lang w:val="en-US"/>
        </w:rPr>
        <w:t xml:space="preserve"> </w:t>
      </w:r>
      <w:proofErr w:type="gramStart"/>
      <w:r w:rsidR="001B55D8">
        <w:rPr>
          <w:lang w:val="en-US"/>
        </w:rPr>
        <w:t>It can be seen that the</w:t>
      </w:r>
      <w:proofErr w:type="gramEnd"/>
      <w:r w:rsidR="001B55D8">
        <w:rPr>
          <w:lang w:val="en-US"/>
        </w:rPr>
        <w:t xml:space="preserve"> CP-OFDM output power is limited by the 10 dBm/MHz PSD limit, and that there is some margin to the emission mask (2.3 dB) and NR-ACLR (1.2 dB).</w:t>
      </w:r>
    </w:p>
    <w:p w14:paraId="290B278F" w14:textId="0E19B2A1" w:rsidR="0045360A" w:rsidRDefault="0045360A" w:rsidP="00FA447A">
      <w:pPr>
        <w:rPr>
          <w:lang w:val="en-US"/>
        </w:rPr>
      </w:pPr>
    </w:p>
    <w:p w14:paraId="0DDD45B4" w14:textId="0DA92A36" w:rsidR="00687B00" w:rsidRDefault="00687B00" w:rsidP="00204048">
      <w:pPr>
        <w:jc w:val="center"/>
        <w:rPr>
          <w:lang w:val="en-US"/>
        </w:rPr>
      </w:pPr>
      <w:r>
        <w:rPr>
          <w:noProof/>
          <w:lang w:val="en-US"/>
        </w:rPr>
        <w:lastRenderedPageBreak/>
        <w:drawing>
          <wp:inline distT="0" distB="0" distL="0" distR="0" wp14:anchorId="643C0773" wp14:editId="606C895D">
            <wp:extent cx="4422335" cy="40559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_30khz_1i_ofdma_etsi.png"/>
                    <pic:cNvPicPr/>
                  </pic:nvPicPr>
                  <pic:blipFill rotWithShape="1">
                    <a:blip r:embed="rId14" cstate="print">
                      <a:extLst>
                        <a:ext uri="{28A0092B-C50C-407E-A947-70E740481C1C}">
                          <a14:useLocalDpi xmlns:a14="http://schemas.microsoft.com/office/drawing/2010/main" val="0"/>
                        </a:ext>
                      </a:extLst>
                    </a:blip>
                    <a:srcRect t="5430" b="4467"/>
                    <a:stretch/>
                  </pic:blipFill>
                  <pic:spPr bwMode="auto">
                    <a:xfrm>
                      <a:off x="0" y="0"/>
                      <a:ext cx="4430841" cy="4063754"/>
                    </a:xfrm>
                    <a:prstGeom prst="rect">
                      <a:avLst/>
                    </a:prstGeom>
                    <a:ln>
                      <a:noFill/>
                    </a:ln>
                    <a:extLst>
                      <a:ext uri="{53640926-AAD7-44D8-BBD7-CCE9431645EC}">
                        <a14:shadowObscured xmlns:a14="http://schemas.microsoft.com/office/drawing/2010/main"/>
                      </a:ext>
                    </a:extLst>
                  </pic:spPr>
                </pic:pic>
              </a:graphicData>
            </a:graphic>
          </wp:inline>
        </w:drawing>
      </w:r>
    </w:p>
    <w:p w14:paraId="7ED89DC1" w14:textId="380DB931" w:rsidR="00582ACE" w:rsidRPr="00EA1FAB"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Tx spectrum w.r.t. ETSI SEM: 1 interlace, </w:t>
      </w:r>
      <w:r w:rsidRPr="00EA1FAB">
        <w:t>CP-OFDM, 30 kHz SCS, and QPSK modulation.</w:t>
      </w:r>
    </w:p>
    <w:p w14:paraId="2DC522E6" w14:textId="77777777" w:rsidR="00582ACE" w:rsidRDefault="00582ACE" w:rsidP="00204048">
      <w:pPr>
        <w:jc w:val="center"/>
        <w:rPr>
          <w:lang w:val="en-US"/>
        </w:rPr>
      </w:pPr>
    </w:p>
    <w:p w14:paraId="4019256E" w14:textId="69BFE444" w:rsidR="00377260" w:rsidRDefault="00377260" w:rsidP="00FA447A">
      <w:pPr>
        <w:rPr>
          <w:lang w:val="en-US"/>
        </w:rPr>
      </w:pPr>
      <w:r>
        <w:rPr>
          <w:lang w:val="en-US"/>
        </w:rPr>
        <w:t xml:space="preserve">Comparison of different DFT-s-OFDM and CP-OFDM waveforms with a single 15 or 30 kHz interlace are shown </w:t>
      </w:r>
      <w:r w:rsidR="00582ACE">
        <w:rPr>
          <w:lang w:val="en-US"/>
        </w:rPr>
        <w:t>in Figure 3</w:t>
      </w:r>
      <w:r>
        <w:rPr>
          <w:lang w:val="en-US"/>
        </w:rPr>
        <w:t>, against ETSI and LTE masks, with 10 dBm/MHz and 11 dBm/MHz PSD limits respectively</w:t>
      </w:r>
      <w:r w:rsidR="001B55D8">
        <w:rPr>
          <w:lang w:val="en-US"/>
        </w:rPr>
        <w:t>.</w:t>
      </w:r>
    </w:p>
    <w:p w14:paraId="104D42E5" w14:textId="3A181AB4" w:rsidR="00377260" w:rsidRDefault="00377260" w:rsidP="00204048">
      <w:pPr>
        <w:ind w:left="-851" w:right="-851"/>
        <w:rPr>
          <w:lang w:val="en-US"/>
        </w:rPr>
      </w:pPr>
      <w:r>
        <w:rPr>
          <w:noProof/>
          <w:lang w:val="en-US"/>
        </w:rPr>
        <w:drawing>
          <wp:inline distT="0" distB="0" distL="0" distR="0" wp14:anchorId="2D4B1FC5" wp14:editId="0D8DE75F">
            <wp:extent cx="3648414" cy="31748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ec_all_etsi.png"/>
                    <pic:cNvPicPr/>
                  </pic:nvPicPr>
                  <pic:blipFill rotWithShape="1">
                    <a:blip r:embed="rId15" cstate="print">
                      <a:extLst>
                        <a:ext uri="{28A0092B-C50C-407E-A947-70E740481C1C}">
                          <a14:useLocalDpi xmlns:a14="http://schemas.microsoft.com/office/drawing/2010/main" val="0"/>
                        </a:ext>
                      </a:extLst>
                    </a:blip>
                    <a:srcRect l="6202" r="7611"/>
                    <a:stretch/>
                  </pic:blipFill>
                  <pic:spPr bwMode="auto">
                    <a:xfrm>
                      <a:off x="0" y="0"/>
                      <a:ext cx="3648767" cy="3175200"/>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1A7063FF" wp14:editId="3636D8E4">
            <wp:extent cx="3539589" cy="3174365"/>
            <wp:effectExtent l="0" t="0" r="381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_all_lte.png"/>
                    <pic:cNvPicPr/>
                  </pic:nvPicPr>
                  <pic:blipFill rotWithShape="1">
                    <a:blip r:embed="rId16" cstate="print">
                      <a:extLst>
                        <a:ext uri="{28A0092B-C50C-407E-A947-70E740481C1C}">
                          <a14:useLocalDpi xmlns:a14="http://schemas.microsoft.com/office/drawing/2010/main" val="0"/>
                        </a:ext>
                      </a:extLst>
                    </a:blip>
                    <a:srcRect l="8769" r="7602"/>
                    <a:stretch/>
                  </pic:blipFill>
                  <pic:spPr bwMode="auto">
                    <a:xfrm>
                      <a:off x="0" y="0"/>
                      <a:ext cx="3540520" cy="3175200"/>
                    </a:xfrm>
                    <a:prstGeom prst="rect">
                      <a:avLst/>
                    </a:prstGeom>
                    <a:ln>
                      <a:noFill/>
                    </a:ln>
                    <a:extLst>
                      <a:ext uri="{53640926-AAD7-44D8-BBD7-CCE9431645EC}">
                        <a14:shadowObscured xmlns:a14="http://schemas.microsoft.com/office/drawing/2010/main"/>
                      </a:ext>
                    </a:extLst>
                  </pic:spPr>
                </pic:pic>
              </a:graphicData>
            </a:graphic>
          </wp:inline>
        </w:drawing>
      </w:r>
    </w:p>
    <w:p w14:paraId="2F6840D5" w14:textId="7B982E06" w:rsidR="00582ACE" w:rsidRPr="00282A24"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Tx spectrum w.r.t. ETSI SEM (left) and LTE SEM (right)</w:t>
      </w:r>
      <w:r w:rsidR="00EA1FAB">
        <w:t>.</w:t>
      </w:r>
    </w:p>
    <w:p w14:paraId="49C54155" w14:textId="77777777" w:rsidR="00582ACE" w:rsidRDefault="00582ACE" w:rsidP="00204048">
      <w:pPr>
        <w:ind w:left="-851" w:right="-851"/>
        <w:rPr>
          <w:lang w:val="en-US"/>
        </w:rPr>
      </w:pPr>
    </w:p>
    <w:p w14:paraId="37AD25A1" w14:textId="0ADDFF5D" w:rsidR="00957709" w:rsidRDefault="00377260" w:rsidP="00FA447A">
      <w:pPr>
        <w:rPr>
          <w:lang w:val="en-US"/>
        </w:rPr>
      </w:pPr>
      <w:r>
        <w:rPr>
          <w:lang w:val="en-US"/>
        </w:rPr>
        <w:lastRenderedPageBreak/>
        <w:t>The full set of s</w:t>
      </w:r>
      <w:r w:rsidR="005C4E25">
        <w:rPr>
          <w:lang w:val="en-US"/>
        </w:rPr>
        <w:t>imulation results are shown in</w:t>
      </w:r>
      <w:r w:rsidR="00582ACE">
        <w:rPr>
          <w:lang w:val="en-US"/>
        </w:rPr>
        <w:t xml:space="preserve"> Table 1 </w:t>
      </w:r>
      <w:r w:rsidR="00F44928">
        <w:rPr>
          <w:lang w:val="en-US"/>
        </w:rPr>
        <w:t>below.</w:t>
      </w:r>
      <w:r w:rsidR="001D52A1">
        <w:rPr>
          <w:lang w:val="en-US"/>
        </w:rPr>
        <w:t xml:space="preserve"> The achievable output power in dBm is listed for each simulated waveform.</w:t>
      </w:r>
      <w:r w:rsidR="00DB09E2">
        <w:rPr>
          <w:lang w:val="en-US"/>
        </w:rPr>
        <w:t xml:space="preserve"> Also</w:t>
      </w:r>
      <w:r w:rsidR="00582ACE">
        <w:rPr>
          <w:lang w:val="en-US"/>
        </w:rPr>
        <w:t>,</w:t>
      </w:r>
      <w:r w:rsidR="00DB09E2">
        <w:rPr>
          <w:lang w:val="en-US"/>
        </w:rPr>
        <w:t xml:space="preserve"> a second PA model was used, and the results were very similar and did not have significant difference.</w:t>
      </w:r>
    </w:p>
    <w:p w14:paraId="68267403" w14:textId="0008367A" w:rsidR="005C4E25" w:rsidRPr="00957709" w:rsidRDefault="00957709" w:rsidP="00FA447A">
      <w:pPr>
        <w:rPr>
          <w:b/>
          <w:lang w:val="en-US"/>
        </w:rPr>
      </w:pPr>
      <w:r w:rsidRPr="00957709">
        <w:rPr>
          <w:b/>
        </w:rPr>
        <w:t xml:space="preserve">Table </w:t>
      </w:r>
      <w:r w:rsidRPr="00957709">
        <w:rPr>
          <w:b/>
        </w:rPr>
        <w:fldChar w:fldCharType="begin"/>
      </w:r>
      <w:r w:rsidRPr="00957709">
        <w:rPr>
          <w:b/>
        </w:rPr>
        <w:instrText xml:space="preserve"> SEQ Table \* ARABIC </w:instrText>
      </w:r>
      <w:r w:rsidRPr="00957709">
        <w:rPr>
          <w:b/>
        </w:rPr>
        <w:fldChar w:fldCharType="separate"/>
      </w:r>
      <w:r w:rsidRPr="00957709">
        <w:rPr>
          <w:b/>
          <w:noProof/>
        </w:rPr>
        <w:t>1</w:t>
      </w:r>
      <w:r w:rsidRPr="00957709">
        <w:rPr>
          <w:b/>
        </w:rPr>
        <w:fldChar w:fldCharType="end"/>
      </w:r>
      <w:r w:rsidRPr="00957709">
        <w:rPr>
          <w:b/>
        </w:rPr>
        <w:t>.</w:t>
      </w:r>
      <w:r>
        <w:rPr>
          <w:b/>
        </w:rPr>
        <w:t xml:space="preserve"> Simulation results</w:t>
      </w:r>
    </w:p>
    <w:p w14:paraId="23608FBD" w14:textId="258691F4" w:rsidR="005C4E25" w:rsidRDefault="005C4E25" w:rsidP="005C4E25">
      <w:pPr>
        <w:jc w:val="center"/>
        <w:rPr>
          <w:lang w:val="en-US"/>
        </w:rPr>
      </w:pPr>
      <w:r>
        <w:rPr>
          <w:rFonts w:ascii="Calibri" w:hAnsi="Calibri" w:cs="Calibri"/>
          <w:noProof/>
          <w:sz w:val="22"/>
          <w:szCs w:val="22"/>
        </w:rPr>
        <w:drawing>
          <wp:inline distT="0" distB="0" distL="0" distR="0" wp14:anchorId="45BDB32F" wp14:editId="55CFF212">
            <wp:extent cx="5076825" cy="1688465"/>
            <wp:effectExtent l="0" t="0" r="9525" b="6985"/>
            <wp:docPr id="7" name="Picture 7" descr="cid:image001.png@01D3E78D.65414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3E78D.65414E2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76825" cy="1688465"/>
                    </a:xfrm>
                    <a:prstGeom prst="rect">
                      <a:avLst/>
                    </a:prstGeom>
                    <a:noFill/>
                    <a:ln>
                      <a:noFill/>
                    </a:ln>
                  </pic:spPr>
                </pic:pic>
              </a:graphicData>
            </a:graphic>
          </wp:inline>
        </w:drawing>
      </w:r>
    </w:p>
    <w:p w14:paraId="62F113A4" w14:textId="48A913EA" w:rsidR="00F44928" w:rsidRDefault="005C4E25" w:rsidP="00F44928">
      <w:pPr>
        <w:spacing w:after="0"/>
        <w:rPr>
          <w:lang w:val="en-US"/>
        </w:rPr>
      </w:pPr>
      <w:r>
        <w:rPr>
          <w:lang w:val="en-US"/>
        </w:rPr>
        <w:t>It can be noted that proposed interlace structure</w:t>
      </w:r>
      <w:r w:rsidR="00957709">
        <w:rPr>
          <w:lang w:val="en-US"/>
        </w:rPr>
        <w:t>s</w:t>
      </w:r>
      <w:r>
        <w:rPr>
          <w:lang w:val="en-US"/>
        </w:rPr>
        <w:t xml:space="preserve"> can provid</w:t>
      </w:r>
      <w:r w:rsidR="00F44928">
        <w:rPr>
          <w:lang w:val="en-US"/>
        </w:rPr>
        <w:t xml:space="preserve">e reasonably high Tx power especially when all interlaces are used. </w:t>
      </w:r>
      <w:r w:rsidR="00957709">
        <w:rPr>
          <w:lang w:val="en-US"/>
        </w:rPr>
        <w:t>In this case, maximum Tx power is limited by ACLR</w:t>
      </w:r>
      <w:r w:rsidR="00D01979">
        <w:rPr>
          <w:lang w:val="en-US"/>
        </w:rPr>
        <w:t xml:space="preserve"> (30 dB)</w:t>
      </w:r>
      <w:r w:rsidR="00957709">
        <w:rPr>
          <w:lang w:val="en-US"/>
        </w:rPr>
        <w:t>.</w:t>
      </w:r>
    </w:p>
    <w:p w14:paraId="021A6BF1" w14:textId="143BE466" w:rsidR="00F44928" w:rsidRDefault="00F44928" w:rsidP="00F44928">
      <w:pPr>
        <w:pStyle w:val="ListParagraph"/>
        <w:numPr>
          <w:ilvl w:val="0"/>
          <w:numId w:val="45"/>
        </w:numPr>
        <w:rPr>
          <w:sz w:val="20"/>
          <w:lang w:val="en-US"/>
        </w:rPr>
      </w:pPr>
      <w:r w:rsidRPr="00F44928">
        <w:rPr>
          <w:sz w:val="20"/>
          <w:lang w:val="en-US"/>
        </w:rPr>
        <w:t>The maximum Tx power depend on the waveform use</w:t>
      </w:r>
      <w:r>
        <w:rPr>
          <w:sz w:val="20"/>
          <w:lang w:val="en-US"/>
        </w:rPr>
        <w:t xml:space="preserve">d: DFT-S-OFDM provides </w:t>
      </w:r>
      <w:r w:rsidR="001D52A1">
        <w:rPr>
          <w:sz w:val="20"/>
          <w:lang w:val="en-US"/>
        </w:rPr>
        <w:t xml:space="preserve">approximately </w:t>
      </w:r>
      <w:r>
        <w:rPr>
          <w:sz w:val="20"/>
          <w:lang w:val="en-US"/>
        </w:rPr>
        <w:t xml:space="preserve">2.2 dB higher Tx power compared to that of CP-OFDM </w:t>
      </w:r>
      <w:r w:rsidR="001D52A1">
        <w:rPr>
          <w:sz w:val="20"/>
          <w:lang w:val="en-US"/>
        </w:rPr>
        <w:t>when all interlaces are used.</w:t>
      </w:r>
      <w:r w:rsidR="0057504F">
        <w:rPr>
          <w:sz w:val="20"/>
          <w:lang w:val="en-US"/>
        </w:rPr>
        <w:t xml:space="preserve"> On the other hand, it is quite unlikely to have QPSK as the modulation scheme for uplink transmission in this scenario.</w:t>
      </w:r>
    </w:p>
    <w:p w14:paraId="11C572D0" w14:textId="0D017745" w:rsidR="00957709" w:rsidRDefault="00F44928" w:rsidP="00F44928">
      <w:pPr>
        <w:pStyle w:val="ListParagraph"/>
        <w:numPr>
          <w:ilvl w:val="0"/>
          <w:numId w:val="45"/>
        </w:numPr>
        <w:rPr>
          <w:sz w:val="20"/>
          <w:lang w:val="en-US"/>
        </w:rPr>
      </w:pPr>
      <w:r>
        <w:rPr>
          <w:sz w:val="20"/>
          <w:lang w:val="en-US"/>
        </w:rPr>
        <w:t xml:space="preserve">The maximum Tx power does not depend </w:t>
      </w:r>
      <w:r w:rsidR="00957709">
        <w:rPr>
          <w:sz w:val="20"/>
          <w:lang w:val="en-US"/>
        </w:rPr>
        <w:t>on the subcarrier spacing.</w:t>
      </w:r>
    </w:p>
    <w:p w14:paraId="2AEA627A" w14:textId="77777777" w:rsidR="001B55D8" w:rsidRDefault="001B55D8" w:rsidP="00B313D3">
      <w:pPr>
        <w:spacing w:after="0"/>
        <w:rPr>
          <w:lang w:val="en-US"/>
        </w:rPr>
      </w:pPr>
    </w:p>
    <w:p w14:paraId="6CC36D4C" w14:textId="3E0D9A6F" w:rsidR="00F44928" w:rsidRPr="00F44928" w:rsidRDefault="00F44928" w:rsidP="00F44928">
      <w:pPr>
        <w:rPr>
          <w:lang w:val="en-US"/>
        </w:rPr>
      </w:pPr>
      <w:r>
        <w:rPr>
          <w:lang w:val="en-US"/>
        </w:rPr>
        <w:t>When onl</w:t>
      </w:r>
      <w:r w:rsidR="00957709">
        <w:rPr>
          <w:lang w:val="en-US"/>
        </w:rPr>
        <w:t>y one interlace allocated, then Tx power is limited by PSD (instead of ACRL). It can be noted that in this case the maximum achievable Tx power is the same for DFT-S-OFDM and CP-OFDM.</w:t>
      </w:r>
      <w:r w:rsidR="00EA1FAB">
        <w:rPr>
          <w:lang w:val="en-US"/>
        </w:rPr>
        <w:t xml:space="preserve"> Based on that, it makes sense to consider CP-OFDM as the primary uplink waveform for NR-U.</w:t>
      </w:r>
    </w:p>
    <w:p w14:paraId="15CCA1EC" w14:textId="570BF266" w:rsidR="002C2600" w:rsidRDefault="00957709" w:rsidP="0001614D">
      <w:pPr>
        <w:rPr>
          <w:i/>
          <w:iCs/>
          <w:lang w:val="en-US"/>
        </w:rPr>
      </w:pPr>
      <w:r>
        <w:rPr>
          <w:b/>
          <w:bCs/>
          <w:i/>
          <w:iCs/>
          <w:lang w:val="en-US"/>
        </w:rPr>
        <w:t>Observation</w:t>
      </w:r>
      <w:r w:rsidRPr="00FD57D9">
        <w:rPr>
          <w:b/>
          <w:bCs/>
          <w:i/>
          <w:iCs/>
          <w:lang w:val="en-US"/>
        </w:rPr>
        <w:t xml:space="preserve"> </w:t>
      </w:r>
      <w:r>
        <w:rPr>
          <w:b/>
          <w:bCs/>
          <w:i/>
          <w:iCs/>
          <w:lang w:val="en-US"/>
        </w:rPr>
        <w:t>1</w:t>
      </w:r>
      <w:r w:rsidRPr="00FD57D9">
        <w:rPr>
          <w:b/>
          <w:bCs/>
          <w:i/>
          <w:iCs/>
          <w:lang w:val="en-US"/>
        </w:rPr>
        <w:t xml:space="preserve">: </w:t>
      </w:r>
      <w:r>
        <w:rPr>
          <w:i/>
          <w:iCs/>
          <w:lang w:val="en-US"/>
        </w:rPr>
        <w:t>Subcarrier spacing does not impact to the maximum achievable transmit power when the interlace structure</w:t>
      </w:r>
      <w:r w:rsidR="0057504F">
        <w:rPr>
          <w:i/>
          <w:iCs/>
          <w:lang w:val="en-US"/>
        </w:rPr>
        <w:t>s</w:t>
      </w:r>
      <w:r>
        <w:rPr>
          <w:i/>
          <w:iCs/>
          <w:lang w:val="en-US"/>
        </w:rPr>
        <w:t xml:space="preserve"> </w:t>
      </w:r>
      <w:r w:rsidR="0057504F">
        <w:rPr>
          <w:i/>
          <w:iCs/>
          <w:lang w:val="en-US"/>
        </w:rPr>
        <w:t>(i.e. the cluster size, as well as the number of clusters) remain unchanged.</w:t>
      </w:r>
    </w:p>
    <w:p w14:paraId="799EAF60" w14:textId="687A2E72" w:rsidR="00957709" w:rsidRDefault="00957709" w:rsidP="00957709">
      <w:pPr>
        <w:rPr>
          <w:i/>
          <w:iCs/>
          <w:lang w:val="en-US"/>
        </w:rPr>
      </w:pPr>
      <w:r>
        <w:rPr>
          <w:b/>
          <w:bCs/>
          <w:i/>
          <w:iCs/>
          <w:lang w:val="en-US"/>
        </w:rPr>
        <w:t>Observation</w:t>
      </w:r>
      <w:r w:rsidRPr="00FD57D9">
        <w:rPr>
          <w:b/>
          <w:bCs/>
          <w:i/>
          <w:iCs/>
          <w:lang w:val="en-US"/>
        </w:rPr>
        <w:t xml:space="preserve"> </w:t>
      </w:r>
      <w:r>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0FDB03A0" w14:textId="04F4F7FC" w:rsidR="00582ACE" w:rsidRDefault="00582ACE" w:rsidP="00582ACE">
      <w:pPr>
        <w:rPr>
          <w:i/>
          <w:iCs/>
          <w:lang w:val="en-US"/>
        </w:rPr>
      </w:pPr>
      <w:r>
        <w:rPr>
          <w:b/>
          <w:bCs/>
          <w:i/>
          <w:iCs/>
          <w:lang w:val="en-US"/>
        </w:rPr>
        <w:t>Proposal</w:t>
      </w:r>
      <w:r w:rsidRPr="00FD57D9">
        <w:rPr>
          <w:b/>
          <w:bCs/>
          <w:i/>
          <w:iCs/>
          <w:lang w:val="en-US"/>
        </w:rPr>
        <w:t xml:space="preserve"> </w:t>
      </w:r>
      <w:r w:rsidR="004905BA">
        <w:rPr>
          <w:b/>
          <w:bCs/>
          <w:i/>
          <w:iCs/>
          <w:lang w:val="en-US"/>
        </w:rPr>
        <w:t>5</w:t>
      </w:r>
      <w:r w:rsidRPr="00FD57D9">
        <w:rPr>
          <w:b/>
          <w:bCs/>
          <w:i/>
          <w:iCs/>
          <w:lang w:val="en-US"/>
        </w:rPr>
        <w:t xml:space="preserve">: </w:t>
      </w:r>
      <w:r>
        <w:rPr>
          <w:i/>
          <w:iCs/>
          <w:lang w:val="en-US"/>
        </w:rPr>
        <w:t>Consider CP-OFDM as the primary uplink waveform for NR-U</w:t>
      </w:r>
      <w:r w:rsidR="00EA1FAB">
        <w:rPr>
          <w:i/>
          <w:iCs/>
          <w:lang w:val="en-US"/>
        </w:rPr>
        <w:t>.</w:t>
      </w:r>
    </w:p>
    <w:p w14:paraId="0D827FAF" w14:textId="293522C7" w:rsidR="0034111C" w:rsidRPr="00A51522" w:rsidRDefault="00AA1592">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p>
    <w:p w14:paraId="626917E1" w14:textId="718A591E" w:rsidR="00731B79" w:rsidRDefault="003D3FBA" w:rsidP="006060C2">
      <w:pPr>
        <w:spacing w:after="120"/>
        <w:jc w:val="both"/>
        <w:rPr>
          <w:bCs/>
        </w:rPr>
      </w:pPr>
      <w:r w:rsidRPr="00A51522">
        <w:t>In this contribution</w:t>
      </w:r>
      <w:r w:rsidR="009251C8">
        <w:t>,</w:t>
      </w:r>
      <w:r w:rsidRPr="00A51522">
        <w:t xml:space="preserve"> we have </w:t>
      </w:r>
      <w:r w:rsidR="001B55D8">
        <w:t>we evaluated the maximum achievable UE Tx power for different interlace structures</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w:t>
      </w:r>
      <w:r w:rsidR="00EA1FAB">
        <w:rPr>
          <w:bCs/>
        </w:rPr>
        <w:t xml:space="preserve">a </w:t>
      </w:r>
      <w:r w:rsidR="00342AD2">
        <w:rPr>
          <w:bCs/>
        </w:rPr>
        <w:t>proposal:</w:t>
      </w:r>
    </w:p>
    <w:p w14:paraId="14C2A9AB" w14:textId="518B1807" w:rsidR="00EA1FAB" w:rsidRDefault="00EA1FAB" w:rsidP="00EA1FAB">
      <w:pPr>
        <w:rPr>
          <w:i/>
          <w:iCs/>
          <w:lang w:val="en-US"/>
        </w:rPr>
      </w:pPr>
      <w:r>
        <w:rPr>
          <w:b/>
          <w:bCs/>
          <w:i/>
          <w:iCs/>
          <w:lang w:val="en-US"/>
        </w:rPr>
        <w:t>Observation</w:t>
      </w:r>
      <w:r w:rsidRPr="00FD57D9">
        <w:rPr>
          <w:b/>
          <w:bCs/>
          <w:i/>
          <w:iCs/>
          <w:lang w:val="en-US"/>
        </w:rPr>
        <w:t xml:space="preserve"> </w:t>
      </w:r>
      <w:r>
        <w:rPr>
          <w:b/>
          <w:bCs/>
          <w:i/>
          <w:iCs/>
          <w:lang w:val="en-US"/>
        </w:rPr>
        <w:t>1</w:t>
      </w:r>
      <w:r w:rsidRPr="00FD57D9">
        <w:rPr>
          <w:b/>
          <w:bCs/>
          <w:i/>
          <w:iCs/>
          <w:lang w:val="en-US"/>
        </w:rPr>
        <w:t xml:space="preserve">: </w:t>
      </w:r>
      <w:r w:rsidR="0057504F">
        <w:rPr>
          <w:i/>
          <w:iCs/>
          <w:lang w:val="en-US"/>
        </w:rPr>
        <w:t>Subcarrier spacing does not impact to the maximum achievable transmit power when the interlace structures (i.e. the cluster size, as well as the number of clusters) remain unchanged.</w:t>
      </w:r>
    </w:p>
    <w:p w14:paraId="0AF3CF88" w14:textId="77777777" w:rsidR="00EA1FAB" w:rsidRDefault="00EA1FAB" w:rsidP="00EA1FAB">
      <w:pPr>
        <w:rPr>
          <w:i/>
          <w:iCs/>
          <w:lang w:val="en-US"/>
        </w:rPr>
      </w:pPr>
      <w:r>
        <w:rPr>
          <w:b/>
          <w:bCs/>
          <w:i/>
          <w:iCs/>
          <w:lang w:val="en-US"/>
        </w:rPr>
        <w:t>Observation</w:t>
      </w:r>
      <w:r w:rsidRPr="00FD57D9">
        <w:rPr>
          <w:b/>
          <w:bCs/>
          <w:i/>
          <w:iCs/>
          <w:lang w:val="en-US"/>
        </w:rPr>
        <w:t xml:space="preserve"> </w:t>
      </w:r>
      <w:r>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792DD80E" w14:textId="20781601" w:rsidR="00637065" w:rsidRPr="00FD57D9" w:rsidRDefault="00637065" w:rsidP="00637065">
      <w:pPr>
        <w:spacing w:after="0"/>
        <w:jc w:val="both"/>
        <w:rPr>
          <w:i/>
          <w:iCs/>
          <w:lang w:val="en-US"/>
        </w:rPr>
      </w:pPr>
      <w:r w:rsidRPr="00FD57D9">
        <w:rPr>
          <w:b/>
          <w:bCs/>
          <w:i/>
          <w:iCs/>
          <w:lang w:val="en-US"/>
        </w:rPr>
        <w:t xml:space="preserve">Proposal </w:t>
      </w:r>
      <w:r w:rsidR="004905BA">
        <w:rPr>
          <w:b/>
          <w:bCs/>
          <w:i/>
          <w:iCs/>
          <w:lang w:val="en-US"/>
        </w:rPr>
        <w:t>1</w:t>
      </w:r>
      <w:r w:rsidRPr="00FD57D9">
        <w:rPr>
          <w:b/>
          <w:bCs/>
          <w:i/>
          <w:iCs/>
          <w:lang w:val="en-US"/>
        </w:rPr>
        <w:t xml:space="preserve">: </w:t>
      </w:r>
      <w:r w:rsidRPr="00FD57D9">
        <w:rPr>
          <w:i/>
          <w:iCs/>
          <w:lang w:val="en-US"/>
        </w:rPr>
        <w:t>Interlace based transmission needs to be supported by all numerology options defined for NR-U and 5 GHz scenario.</w:t>
      </w:r>
    </w:p>
    <w:p w14:paraId="6EC68F6A" w14:textId="39F0E793" w:rsidR="00637065" w:rsidRPr="00FD57D9" w:rsidRDefault="00637065" w:rsidP="00637065">
      <w:pPr>
        <w:spacing w:after="0"/>
        <w:jc w:val="both"/>
        <w:rPr>
          <w:i/>
          <w:iCs/>
          <w:lang w:val="en-US"/>
        </w:rPr>
      </w:pPr>
      <w:r w:rsidRPr="57A2373E">
        <w:rPr>
          <w:b/>
          <w:bCs/>
          <w:i/>
          <w:iCs/>
          <w:lang w:val="en-US"/>
        </w:rPr>
        <w:t xml:space="preserve">Proposal </w:t>
      </w:r>
      <w:r w:rsidR="004905BA">
        <w:rPr>
          <w:b/>
          <w:bCs/>
          <w:i/>
          <w:iCs/>
          <w:lang w:val="en-US"/>
        </w:rPr>
        <w:t>2</w:t>
      </w:r>
      <w:r w:rsidRPr="57A2373E">
        <w:rPr>
          <w:b/>
          <w:bCs/>
          <w:i/>
          <w:iCs/>
          <w:lang w:val="en-US"/>
        </w:rPr>
        <w:t xml:space="preserve">: </w:t>
      </w:r>
      <w:r w:rsidRPr="57A2373E">
        <w:rPr>
          <w:i/>
          <w:iCs/>
          <w:lang w:val="en-US"/>
        </w:rPr>
        <w:t>NR interlace structure is designed for 20 MHz sub-band.</w:t>
      </w:r>
    </w:p>
    <w:p w14:paraId="46C60489" w14:textId="69F0C99E" w:rsidR="00637065" w:rsidRPr="00FD57D9" w:rsidRDefault="00637065" w:rsidP="00637065">
      <w:pPr>
        <w:spacing w:after="0"/>
        <w:jc w:val="both"/>
        <w:rPr>
          <w:i/>
          <w:iCs/>
          <w:lang w:val="en-US"/>
        </w:rPr>
      </w:pPr>
      <w:r w:rsidRPr="00FD57D9">
        <w:rPr>
          <w:b/>
          <w:bCs/>
          <w:i/>
          <w:iCs/>
          <w:lang w:val="en-US"/>
        </w:rPr>
        <w:t xml:space="preserve">Proposal </w:t>
      </w:r>
      <w:r w:rsidR="004905BA">
        <w:rPr>
          <w:b/>
          <w:bCs/>
          <w:i/>
          <w:iCs/>
          <w:lang w:val="en-US"/>
        </w:rPr>
        <w:t>3</w:t>
      </w:r>
      <w:r w:rsidRPr="00FD57D9">
        <w:rPr>
          <w:b/>
          <w:bCs/>
          <w:i/>
          <w:iCs/>
          <w:lang w:val="en-US"/>
        </w:rPr>
        <w:t xml:space="preserve">: </w:t>
      </w:r>
      <w:r w:rsidRPr="00FD57D9">
        <w:rPr>
          <w:i/>
          <w:iCs/>
          <w:lang w:val="en-US"/>
        </w:rPr>
        <w:t>Support interlace structure where cluster size is a fraction of PRB.</w:t>
      </w:r>
    </w:p>
    <w:p w14:paraId="41A13101" w14:textId="55739CB8" w:rsidR="00637065" w:rsidRPr="00FD57D9" w:rsidRDefault="00637065" w:rsidP="00637065">
      <w:pPr>
        <w:spacing w:after="0"/>
        <w:jc w:val="both"/>
        <w:rPr>
          <w:i/>
          <w:iCs/>
          <w:lang w:val="en-US"/>
        </w:rPr>
      </w:pPr>
      <w:r w:rsidRPr="00FD57D9">
        <w:rPr>
          <w:b/>
          <w:bCs/>
          <w:i/>
          <w:iCs/>
          <w:lang w:val="en-US"/>
        </w:rPr>
        <w:t xml:space="preserve">Proposal </w:t>
      </w:r>
      <w:r w:rsidR="004905BA">
        <w:rPr>
          <w:b/>
          <w:bCs/>
          <w:i/>
          <w:iCs/>
          <w:lang w:val="en-US"/>
        </w:rPr>
        <w:t>4</w:t>
      </w:r>
      <w:r w:rsidRPr="00FD57D9">
        <w:rPr>
          <w:b/>
          <w:bCs/>
          <w:i/>
          <w:iCs/>
          <w:lang w:val="en-US"/>
        </w:rPr>
        <w:t xml:space="preserve">: </w:t>
      </w:r>
      <w:r w:rsidRPr="00FD57D9">
        <w:rPr>
          <w:i/>
          <w:iCs/>
          <w:lang w:val="en-US"/>
        </w:rPr>
        <w:t>Consider the following interlace structures for NR-U operating at 5 GHz spectrum and 20 MHz sub-band:</w:t>
      </w:r>
    </w:p>
    <w:p w14:paraId="5FE1CD33" w14:textId="77777777" w:rsidR="00637065" w:rsidRPr="00FD57D9" w:rsidRDefault="00637065" w:rsidP="00637065">
      <w:pPr>
        <w:pStyle w:val="ListParagraph"/>
        <w:numPr>
          <w:ilvl w:val="0"/>
          <w:numId w:val="41"/>
        </w:numPr>
        <w:jc w:val="both"/>
        <w:rPr>
          <w:i/>
          <w:iCs/>
          <w:sz w:val="20"/>
          <w:szCs w:val="20"/>
          <w:lang w:val="en-US"/>
        </w:rPr>
      </w:pPr>
      <w:r w:rsidRPr="57A2373E">
        <w:rPr>
          <w:rFonts w:cs="Arial"/>
          <w:i/>
          <w:iCs/>
          <w:sz w:val="20"/>
          <w:szCs w:val="20"/>
          <w:lang w:val="en-US"/>
        </w:rPr>
        <w:t>Option 1: 10 interlaces, each having 10 equally-spaced clusters of 180 kHz</w:t>
      </w:r>
    </w:p>
    <w:p w14:paraId="748A158F" w14:textId="77777777" w:rsidR="00637065" w:rsidRDefault="00637065" w:rsidP="00637065">
      <w:pPr>
        <w:pStyle w:val="ListParagraph"/>
        <w:numPr>
          <w:ilvl w:val="0"/>
          <w:numId w:val="41"/>
        </w:numPr>
        <w:jc w:val="both"/>
        <w:rPr>
          <w:rFonts w:cs="Arial"/>
          <w:i/>
          <w:iCs/>
          <w:sz w:val="20"/>
          <w:szCs w:val="20"/>
          <w:lang w:val="en-US"/>
        </w:rPr>
      </w:pPr>
      <w:r w:rsidRPr="57A2373E">
        <w:rPr>
          <w:rFonts w:cs="Arial"/>
          <w:i/>
          <w:iCs/>
          <w:sz w:val="20"/>
          <w:szCs w:val="20"/>
          <w:lang w:val="en-US"/>
        </w:rPr>
        <w:t>Option 2: 6 interlaces, each having 12 equally-spaced clusters of 240 kHz</w:t>
      </w:r>
    </w:p>
    <w:p w14:paraId="466D46AF" w14:textId="4F503561" w:rsidR="00EA1FAB" w:rsidRDefault="00EA1FAB" w:rsidP="00B313D3">
      <w:pPr>
        <w:spacing w:after="0"/>
        <w:rPr>
          <w:i/>
          <w:iCs/>
          <w:lang w:val="en-US"/>
        </w:rPr>
      </w:pPr>
      <w:r>
        <w:rPr>
          <w:b/>
          <w:bCs/>
          <w:i/>
          <w:iCs/>
          <w:lang w:val="en-US"/>
        </w:rPr>
        <w:t>Proposal</w:t>
      </w:r>
      <w:r w:rsidR="00637065">
        <w:rPr>
          <w:b/>
          <w:bCs/>
          <w:i/>
          <w:iCs/>
          <w:lang w:val="en-US"/>
        </w:rPr>
        <w:t xml:space="preserve"> </w:t>
      </w:r>
      <w:r w:rsidR="004905BA">
        <w:rPr>
          <w:b/>
          <w:bCs/>
          <w:i/>
          <w:iCs/>
          <w:lang w:val="en-US"/>
        </w:rPr>
        <w:t>5</w:t>
      </w:r>
      <w:r w:rsidRPr="00FD57D9">
        <w:rPr>
          <w:b/>
          <w:bCs/>
          <w:i/>
          <w:iCs/>
          <w:lang w:val="en-US"/>
        </w:rPr>
        <w:t xml:space="preserve">: </w:t>
      </w:r>
      <w:r>
        <w:rPr>
          <w:i/>
          <w:iCs/>
          <w:lang w:val="en-US"/>
        </w:rPr>
        <w:t>Consider CP-OFDM as the primary uplink waveform for NR-U.</w:t>
      </w:r>
    </w:p>
    <w:p w14:paraId="2F0729C1" w14:textId="77777777" w:rsidR="0034111C" w:rsidRPr="00A51522" w:rsidRDefault="0034111C">
      <w:pPr>
        <w:pStyle w:val="Heading1"/>
      </w:pPr>
      <w:r w:rsidRPr="00A51522">
        <w:t>References</w:t>
      </w:r>
      <w:r w:rsidR="00A2459D" w:rsidRPr="00A51522">
        <w:t xml:space="preserve"> </w:t>
      </w:r>
    </w:p>
    <w:p w14:paraId="40D99FF0" w14:textId="3B4AD03A"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1DA3F021" w14:textId="77777777" w:rsidR="00B42D9C" w:rsidRDefault="00B42D9C" w:rsidP="00B42D9C">
      <w:pPr>
        <w:numPr>
          <w:ilvl w:val="0"/>
          <w:numId w:val="1"/>
        </w:numPr>
        <w:rPr>
          <w:sz w:val="18"/>
        </w:rPr>
      </w:pPr>
      <w:r>
        <w:rPr>
          <w:sz w:val="18"/>
          <w:lang w:eastAsia="zh-CN"/>
        </w:rPr>
        <w:t>3GPP, “RAN1 Chairman’s Notes”, RAN1#93</w:t>
      </w:r>
    </w:p>
    <w:p w14:paraId="6D3B0274" w14:textId="69AFDC3B" w:rsidR="00EA1FAB" w:rsidRDefault="00A34630" w:rsidP="00B313D3">
      <w:pPr>
        <w:numPr>
          <w:ilvl w:val="0"/>
          <w:numId w:val="1"/>
        </w:numPr>
        <w:spacing w:after="0"/>
        <w:rPr>
          <w:sz w:val="18"/>
          <w:szCs w:val="18"/>
          <w:lang w:eastAsia="zh-CN"/>
        </w:rPr>
      </w:pPr>
      <w:r>
        <w:rPr>
          <w:rFonts w:ascii="Arial" w:hAnsi="Arial" w:cs="Arial"/>
          <w:color w:val="000000"/>
          <w:sz w:val="16"/>
          <w:szCs w:val="16"/>
        </w:rPr>
        <w:t>R1-1808818</w:t>
      </w:r>
      <w:r w:rsidR="00EA1FAB" w:rsidRPr="00282A24">
        <w:rPr>
          <w:sz w:val="18"/>
          <w:szCs w:val="18"/>
          <w:lang w:eastAsia="zh-CN"/>
        </w:rPr>
        <w:t>, “</w:t>
      </w:r>
      <w:r w:rsidR="00EA1FAB" w:rsidRPr="00282A24">
        <w:rPr>
          <w:i/>
          <w:sz w:val="18"/>
          <w:szCs w:val="18"/>
          <w:lang w:eastAsia="zh-CN"/>
        </w:rPr>
        <w:t xml:space="preserve">On uplink signal and channel structures for NR-U”, </w:t>
      </w:r>
      <w:r w:rsidR="00EA1FAB" w:rsidRPr="00282A24">
        <w:rPr>
          <w:sz w:val="18"/>
          <w:szCs w:val="18"/>
          <w:lang w:eastAsia="zh-CN"/>
        </w:rPr>
        <w:t>Nokia, Nokia Shanghai Bell</w:t>
      </w:r>
    </w:p>
    <w:p w14:paraId="224E9FC4" w14:textId="77777777" w:rsidR="002D76C6" w:rsidRPr="00A51522" w:rsidRDefault="002D76C6" w:rsidP="002D76C6">
      <w:pPr>
        <w:pStyle w:val="Heading1"/>
      </w:pPr>
      <w:r>
        <w:lastRenderedPageBreak/>
        <w:t>APPENDIX</w:t>
      </w:r>
    </w:p>
    <w:p w14:paraId="3D53F78C" w14:textId="77777777" w:rsidR="002D76C6" w:rsidRDefault="002D76C6" w:rsidP="002D76C6">
      <w:pPr>
        <w:pStyle w:val="LGTdoc"/>
        <w:spacing w:afterLines="0" w:after="0" w:line="240" w:lineRule="auto"/>
        <w:rPr>
          <w:rFonts w:eastAsia="SimSun"/>
          <w:sz w:val="20"/>
          <w:szCs w:val="20"/>
          <w:lang w:eastAsia="zh-CN"/>
        </w:rPr>
      </w:pPr>
    </w:p>
    <w:p w14:paraId="594C8B6D" w14:textId="77777777" w:rsidR="002D76C6" w:rsidRPr="00FD57D9" w:rsidRDefault="002D76C6" w:rsidP="002D76C6">
      <w:pPr>
        <w:pStyle w:val="LGTdoc"/>
        <w:spacing w:afterLines="0" w:after="0" w:line="240" w:lineRule="auto"/>
        <w:rPr>
          <w:rFonts w:eastAsia="SimSun"/>
          <w:b/>
          <w:bCs/>
          <w:sz w:val="20"/>
          <w:szCs w:val="20"/>
          <w:u w:val="single"/>
          <w:lang w:eastAsia="zh-CN"/>
        </w:rPr>
      </w:pPr>
      <w:r w:rsidRPr="00FB15C5">
        <w:rPr>
          <w:rFonts w:eastAsia="SimSun"/>
          <w:b/>
          <w:bCs/>
          <w:sz w:val="20"/>
          <w:szCs w:val="20"/>
          <w:u w:val="single"/>
          <w:lang w:eastAsia="zh-CN"/>
        </w:rPr>
        <w:t>Design option #1:</w:t>
      </w:r>
    </w:p>
    <w:p w14:paraId="688DBF12" w14:textId="77777777" w:rsidR="002D76C6" w:rsidRDefault="002D76C6" w:rsidP="002D76C6">
      <w:pPr>
        <w:pStyle w:val="LGTdoc"/>
        <w:spacing w:afterLines="0" w:after="0" w:line="240" w:lineRule="auto"/>
        <w:rPr>
          <w:rFonts w:eastAsia="SimSun"/>
          <w:b/>
          <w:sz w:val="20"/>
          <w:szCs w:val="20"/>
          <w:u w:val="single"/>
          <w:lang w:eastAsia="zh-CN"/>
        </w:rPr>
      </w:pPr>
    </w:p>
    <w:p w14:paraId="20E7F3A7" w14:textId="452281A8"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This option is based on interlace structure designed for LAA, see Figure </w:t>
      </w:r>
      <w:r w:rsidR="005C4E25">
        <w:rPr>
          <w:rFonts w:eastAsia="SimSun"/>
          <w:sz w:val="20"/>
          <w:szCs w:val="20"/>
          <w:lang w:eastAsia="zh-CN"/>
        </w:rPr>
        <w:t>2</w:t>
      </w:r>
      <w:r>
        <w:rPr>
          <w:rFonts w:eastAsia="SimSun"/>
          <w:sz w:val="20"/>
          <w:szCs w:val="20"/>
          <w:lang w:eastAsia="zh-CN"/>
        </w:rPr>
        <w:t xml:space="preserve">. </w:t>
      </w:r>
    </w:p>
    <w:p w14:paraId="7D7B0689" w14:textId="77777777" w:rsidR="002D76C6" w:rsidRPr="000721F7" w:rsidRDefault="002D76C6" w:rsidP="002D76C6">
      <w:pPr>
        <w:pStyle w:val="LGTdoc"/>
        <w:numPr>
          <w:ilvl w:val="0"/>
          <w:numId w:val="39"/>
        </w:numPr>
        <w:spacing w:afterLines="0" w:after="0" w:line="240" w:lineRule="auto"/>
        <w:rPr>
          <w:rFonts w:eastAsia="SimSun"/>
          <w:sz w:val="20"/>
          <w:szCs w:val="20"/>
          <w:lang w:eastAsia="zh-CN"/>
        </w:rPr>
      </w:pPr>
      <w:r w:rsidRPr="000721F7">
        <w:rPr>
          <w:rFonts w:eastAsia="SimSun"/>
          <w:sz w:val="20"/>
          <w:szCs w:val="20"/>
          <w:lang w:eastAsia="zh-CN"/>
        </w:rPr>
        <w:t>10 interlaces cover 18 MHz bandwidth</w:t>
      </w:r>
      <w:r>
        <w:rPr>
          <w:rFonts w:eastAsia="SimSun"/>
          <w:sz w:val="20"/>
          <w:szCs w:val="20"/>
          <w:lang w:eastAsia="zh-CN"/>
        </w:rPr>
        <w:t>. Bandwidth occupancy of single interlace is &gt;82% (/20 MHz). Hence, the design is compatible with the ETSI OCB rule.</w:t>
      </w:r>
      <w:r w:rsidRPr="000721F7">
        <w:rPr>
          <w:rFonts w:eastAsia="SimSun"/>
          <w:sz w:val="20"/>
          <w:szCs w:val="20"/>
          <w:lang w:eastAsia="zh-CN"/>
        </w:rPr>
        <w:t xml:space="preserve"> </w:t>
      </w:r>
    </w:p>
    <w:p w14:paraId="73B6B0CD" w14:textId="77777777" w:rsidR="002D76C6" w:rsidRDefault="002D76C6" w:rsidP="002D76C6">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Each interlace contains 10 equally spaced clusters of resource elements. The cluster size is 180 kHz but in terms of number of resource elements it varies according to the numerology.</w:t>
      </w:r>
    </w:p>
    <w:p w14:paraId="42A98C34" w14:textId="77777777" w:rsidR="002D76C6" w:rsidRDefault="002D76C6" w:rsidP="002D76C6">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 xml:space="preserve">This design benefits from </w:t>
      </w:r>
      <w:r w:rsidRPr="00FB15C5">
        <w:rPr>
          <w:rFonts w:eastAsia="SimSun"/>
          <w:b/>
          <w:bCs/>
          <w:sz w:val="20"/>
          <w:szCs w:val="20"/>
          <w:u w:val="single"/>
          <w:lang w:eastAsia="zh-CN"/>
        </w:rPr>
        <w:t>10 dB</w:t>
      </w:r>
      <w:r>
        <w:rPr>
          <w:rFonts w:eastAsia="SimSun"/>
          <w:sz w:val="20"/>
          <w:szCs w:val="20"/>
          <w:lang w:eastAsia="zh-CN"/>
        </w:rPr>
        <w:t xml:space="preserve"> power boost compared to a narrowband transmission (such as 1 PRB transmission).</w:t>
      </w:r>
    </w:p>
    <w:p w14:paraId="7D7477BC" w14:textId="77777777" w:rsidR="002D76C6" w:rsidRDefault="002D76C6" w:rsidP="002D76C6">
      <w:pPr>
        <w:pStyle w:val="LGTdoc"/>
        <w:spacing w:afterLines="0" w:after="0" w:line="240" w:lineRule="auto"/>
        <w:rPr>
          <w:rFonts w:eastAsia="SimSun"/>
          <w:sz w:val="20"/>
          <w:szCs w:val="20"/>
          <w:lang w:eastAsia="zh-CN"/>
        </w:rPr>
      </w:pPr>
    </w:p>
    <w:p w14:paraId="7822671F"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Based on this design partial PRBs are used for 30 kHz and 60 kHz cases, whereas for 15 kHz case this structure becomes the same as the one in </w:t>
      </w:r>
      <w:proofErr w:type="spellStart"/>
      <w:r>
        <w:rPr>
          <w:rFonts w:eastAsia="SimSun"/>
          <w:sz w:val="20"/>
          <w:szCs w:val="20"/>
          <w:lang w:eastAsia="zh-CN"/>
        </w:rPr>
        <w:t>eLAA</w:t>
      </w:r>
      <w:proofErr w:type="spellEnd"/>
      <w:r>
        <w:rPr>
          <w:rFonts w:eastAsia="SimSun"/>
          <w:sz w:val="20"/>
          <w:szCs w:val="20"/>
          <w:lang w:eastAsia="zh-CN"/>
        </w:rPr>
        <w:t>, as shown in Table 1. In case b, two adjacent interlaces are considered as a single resource (interlace). This ensures that total number of PRBs/resource is an integer</w:t>
      </w:r>
      <w:r w:rsidRPr="000721F7">
        <w:rPr>
          <w:rFonts w:eastAsia="SimSun"/>
          <w:sz w:val="20"/>
          <w:szCs w:val="20"/>
          <w:lang w:eastAsia="zh-CN"/>
        </w:rPr>
        <w:t>.</w:t>
      </w:r>
    </w:p>
    <w:p w14:paraId="5ADB0BF8" w14:textId="77777777" w:rsidR="002D76C6" w:rsidRDefault="002D76C6" w:rsidP="002D76C6">
      <w:pPr>
        <w:pStyle w:val="LGTdoc"/>
        <w:spacing w:afterLines="0" w:after="0" w:line="240" w:lineRule="auto"/>
        <w:rPr>
          <w:rFonts w:eastAsia="SimSun"/>
          <w:sz w:val="20"/>
          <w:szCs w:val="20"/>
          <w:lang w:eastAsia="zh-CN"/>
        </w:rPr>
      </w:pPr>
    </w:p>
    <w:p w14:paraId="2066FEBD" w14:textId="77777777" w:rsidR="002D76C6" w:rsidRDefault="002D76C6" w:rsidP="002D76C6">
      <w:pPr>
        <w:pStyle w:val="LGTdoc"/>
        <w:keepNext/>
        <w:spacing w:afterLines="0" w:after="0" w:line="240" w:lineRule="auto"/>
      </w:pPr>
      <w:r w:rsidRPr="00A95BFA">
        <w:rPr>
          <w:noProof/>
        </w:rPr>
        <w:drawing>
          <wp:inline distT="0" distB="0" distL="0" distR="0" wp14:anchorId="0C12809D" wp14:editId="3CDCCFDE">
            <wp:extent cx="6210935" cy="21702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10935" cy="2170254"/>
                    </a:xfrm>
                    <a:prstGeom prst="rect">
                      <a:avLst/>
                    </a:prstGeom>
                    <a:noFill/>
                    <a:ln>
                      <a:noFill/>
                    </a:ln>
                  </pic:spPr>
                </pic:pic>
              </a:graphicData>
            </a:graphic>
          </wp:inline>
        </w:drawing>
      </w:r>
    </w:p>
    <w:p w14:paraId="2A4763BD" w14:textId="2C0F4407" w:rsidR="002D76C6" w:rsidRDefault="002D76C6" w:rsidP="002D76C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Interlace structure, option 1</w:t>
      </w:r>
    </w:p>
    <w:p w14:paraId="0FCA23A7" w14:textId="77777777" w:rsidR="002D76C6" w:rsidRDefault="002D76C6" w:rsidP="002D76C6">
      <w:pPr>
        <w:pStyle w:val="LGTdoc"/>
        <w:spacing w:afterLines="0" w:after="0" w:line="240" w:lineRule="auto"/>
        <w:rPr>
          <w:rFonts w:eastAsia="SimSun"/>
          <w:b/>
          <w:sz w:val="20"/>
          <w:szCs w:val="20"/>
          <w:u w:val="single"/>
          <w:lang w:eastAsia="zh-CN"/>
        </w:rPr>
      </w:pPr>
    </w:p>
    <w:p w14:paraId="58C676E9" w14:textId="77777777" w:rsidR="002D76C6" w:rsidRDefault="002D76C6" w:rsidP="002D76C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interlaced structure, Option 1</w:t>
      </w:r>
    </w:p>
    <w:p w14:paraId="50CCC028" w14:textId="77777777" w:rsidR="002D76C6" w:rsidRDefault="002D76C6" w:rsidP="002D76C6">
      <w:pPr>
        <w:pStyle w:val="LGTdoc"/>
        <w:spacing w:afterLines="0" w:after="0" w:line="240" w:lineRule="auto"/>
        <w:jc w:val="center"/>
        <w:rPr>
          <w:rFonts w:eastAsia="SimSun"/>
          <w:b/>
          <w:sz w:val="20"/>
          <w:szCs w:val="20"/>
          <w:u w:val="single"/>
          <w:lang w:eastAsia="zh-CN"/>
        </w:rPr>
      </w:pPr>
      <w:r w:rsidRPr="007E5A7A">
        <w:rPr>
          <w:noProof/>
        </w:rPr>
        <w:drawing>
          <wp:inline distT="0" distB="0" distL="0" distR="0" wp14:anchorId="7E1F4066" wp14:editId="0FF69792">
            <wp:extent cx="6210000" cy="1375298"/>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10000" cy="1375298"/>
                    </a:xfrm>
                    <a:prstGeom prst="rect">
                      <a:avLst/>
                    </a:prstGeom>
                    <a:noFill/>
                    <a:ln>
                      <a:noFill/>
                    </a:ln>
                  </pic:spPr>
                </pic:pic>
              </a:graphicData>
            </a:graphic>
          </wp:inline>
        </w:drawing>
      </w:r>
    </w:p>
    <w:p w14:paraId="59F48D81" w14:textId="77777777" w:rsidR="002D76C6" w:rsidRDefault="002D76C6" w:rsidP="002D76C6">
      <w:pPr>
        <w:pStyle w:val="LGTdoc"/>
        <w:spacing w:afterLines="0" w:after="0" w:line="240" w:lineRule="auto"/>
        <w:rPr>
          <w:rFonts w:eastAsia="SimSun"/>
          <w:b/>
          <w:sz w:val="20"/>
          <w:szCs w:val="20"/>
          <w:u w:val="single"/>
          <w:lang w:eastAsia="zh-CN"/>
        </w:rPr>
      </w:pPr>
    </w:p>
    <w:p w14:paraId="15E578F0" w14:textId="77777777" w:rsidR="002D76C6" w:rsidRDefault="002D76C6" w:rsidP="002D76C6">
      <w:pPr>
        <w:pStyle w:val="LGTdoc"/>
        <w:spacing w:afterLines="0" w:after="0" w:line="240" w:lineRule="auto"/>
        <w:rPr>
          <w:rFonts w:eastAsia="SimSun"/>
          <w:b/>
          <w:sz w:val="20"/>
          <w:szCs w:val="20"/>
          <w:u w:val="single"/>
          <w:lang w:eastAsia="zh-CN"/>
        </w:rPr>
      </w:pPr>
    </w:p>
    <w:p w14:paraId="1F5D5852" w14:textId="77777777" w:rsidR="002D76C6" w:rsidRPr="00FD57D9" w:rsidRDefault="002D76C6" w:rsidP="002D76C6">
      <w:pPr>
        <w:pStyle w:val="LGTdoc"/>
        <w:spacing w:afterLines="0" w:after="0" w:line="240" w:lineRule="auto"/>
        <w:rPr>
          <w:rFonts w:eastAsia="SimSun"/>
          <w:b/>
          <w:bCs/>
          <w:sz w:val="20"/>
          <w:szCs w:val="20"/>
          <w:u w:val="single"/>
          <w:lang w:eastAsia="zh-CN"/>
        </w:rPr>
      </w:pPr>
      <w:r w:rsidRPr="00FB15C5">
        <w:rPr>
          <w:rFonts w:eastAsia="SimSun"/>
          <w:b/>
          <w:bCs/>
          <w:sz w:val="20"/>
          <w:szCs w:val="20"/>
          <w:u w:val="single"/>
          <w:lang w:eastAsia="zh-CN"/>
        </w:rPr>
        <w:t>Design option #2:</w:t>
      </w:r>
    </w:p>
    <w:p w14:paraId="5B12000E" w14:textId="77777777" w:rsidR="002D76C6" w:rsidRDefault="002D76C6" w:rsidP="002D76C6">
      <w:pPr>
        <w:pStyle w:val="LGTdoc"/>
        <w:spacing w:afterLines="0" w:after="0" w:line="240" w:lineRule="auto"/>
        <w:rPr>
          <w:rFonts w:eastAsia="SimSun"/>
          <w:b/>
          <w:sz w:val="20"/>
          <w:szCs w:val="20"/>
          <w:u w:val="single"/>
          <w:lang w:eastAsia="zh-CN"/>
        </w:rPr>
      </w:pPr>
    </w:p>
    <w:p w14:paraId="5C98F0C0"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In this option 6 interlaces cover a 17.3</w:t>
      </w:r>
      <w:r w:rsidRPr="000721F7">
        <w:rPr>
          <w:rFonts w:eastAsia="SimSun"/>
          <w:sz w:val="20"/>
          <w:szCs w:val="20"/>
          <w:lang w:eastAsia="zh-CN"/>
        </w:rPr>
        <w:t xml:space="preserve"> MHz bandwidth</w:t>
      </w:r>
      <w:r>
        <w:rPr>
          <w:rFonts w:eastAsia="SimSun"/>
          <w:sz w:val="20"/>
          <w:szCs w:val="20"/>
          <w:lang w:eastAsia="zh-CN"/>
        </w:rPr>
        <w:t>. Bandwidth occupancy of single interlace is &gt;80.4% (/20 MHz). Hence, this is also compatible with the ETSI OCB rule.</w:t>
      </w:r>
      <w:r w:rsidRPr="000721F7">
        <w:rPr>
          <w:rFonts w:eastAsia="SimSun"/>
          <w:sz w:val="20"/>
          <w:szCs w:val="20"/>
          <w:lang w:eastAsia="zh-CN"/>
        </w:rPr>
        <w:t xml:space="preserve"> </w:t>
      </w:r>
      <w:r>
        <w:rPr>
          <w:rFonts w:eastAsia="SimSun"/>
          <w:sz w:val="20"/>
          <w:szCs w:val="20"/>
          <w:lang w:eastAsia="zh-CN"/>
        </w:rPr>
        <w:t xml:space="preserve">Each interlace contains 12 equally spaced clusters of resource elements. The cluster size is 240 kHz but in terms of the number of resource elements it varies according to the numerology. This design benefits from up to 10 dB power boost compared to </w:t>
      </w:r>
      <w:proofErr w:type="gramStart"/>
      <w:r>
        <w:rPr>
          <w:rFonts w:eastAsia="SimSun"/>
          <w:sz w:val="20"/>
          <w:szCs w:val="20"/>
          <w:lang w:eastAsia="zh-CN"/>
        </w:rPr>
        <w:t>a contiguous UL resource allocations</w:t>
      </w:r>
      <w:proofErr w:type="gramEnd"/>
      <w:r>
        <w:rPr>
          <w:rFonts w:eastAsia="SimSun"/>
          <w:sz w:val="20"/>
          <w:szCs w:val="20"/>
          <w:lang w:eastAsia="zh-CN"/>
        </w:rPr>
        <w:t xml:space="preserve">. </w:t>
      </w:r>
    </w:p>
    <w:p w14:paraId="7258E384" w14:textId="77777777" w:rsidR="002D76C6" w:rsidRDefault="002D76C6" w:rsidP="002D76C6">
      <w:pPr>
        <w:pStyle w:val="LGTdoc"/>
        <w:spacing w:afterLines="0" w:after="0" w:line="240" w:lineRule="auto"/>
        <w:rPr>
          <w:rFonts w:eastAsia="SimSun"/>
          <w:sz w:val="20"/>
          <w:szCs w:val="20"/>
          <w:lang w:eastAsia="zh-CN"/>
        </w:rPr>
      </w:pPr>
    </w:p>
    <w:p w14:paraId="571D4320"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It can be noted that the number of occupied PRBs in Option 2 stays within the maximum number of PRBs defined by RAN4 for a 20 MHz carrier (also with 60 kHz SCS). </w:t>
      </w:r>
    </w:p>
    <w:p w14:paraId="18A50C5A" w14:textId="77777777" w:rsidR="002D76C6" w:rsidRDefault="002D76C6" w:rsidP="002D76C6">
      <w:pPr>
        <w:pStyle w:val="LGTdoc"/>
        <w:spacing w:afterLines="0" w:after="0" w:line="240" w:lineRule="auto"/>
        <w:rPr>
          <w:rFonts w:eastAsia="SimSun"/>
          <w:sz w:val="20"/>
          <w:szCs w:val="20"/>
          <w:lang w:eastAsia="zh-CN"/>
        </w:rPr>
      </w:pPr>
    </w:p>
    <w:p w14:paraId="0ED7977D" w14:textId="77777777" w:rsidR="002D76C6" w:rsidRDefault="002D76C6" w:rsidP="002D76C6">
      <w:pPr>
        <w:spacing w:after="0"/>
        <w:jc w:val="both"/>
        <w:rPr>
          <w:i/>
          <w:lang w:eastAsia="x-none"/>
        </w:rPr>
      </w:pPr>
      <w:r w:rsidRPr="003F3866">
        <w:rPr>
          <w:noProof/>
        </w:rPr>
        <w:lastRenderedPageBreak/>
        <w:drawing>
          <wp:inline distT="0" distB="0" distL="0" distR="0" wp14:anchorId="0221821A" wp14:editId="5A88CC8D">
            <wp:extent cx="6210935" cy="20915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10935" cy="2091589"/>
                    </a:xfrm>
                    <a:prstGeom prst="rect">
                      <a:avLst/>
                    </a:prstGeom>
                    <a:noFill/>
                    <a:ln>
                      <a:noFill/>
                    </a:ln>
                  </pic:spPr>
                </pic:pic>
              </a:graphicData>
            </a:graphic>
          </wp:inline>
        </w:drawing>
      </w:r>
    </w:p>
    <w:p w14:paraId="7FDB5220" w14:textId="07D8B326" w:rsidR="002D76C6" w:rsidRDefault="002D76C6" w:rsidP="002D76C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Interlace structure, option 2</w:t>
      </w:r>
    </w:p>
    <w:p w14:paraId="1BEA8CEA" w14:textId="77777777" w:rsidR="002D76C6" w:rsidRDefault="002D76C6" w:rsidP="002D76C6">
      <w:pPr>
        <w:spacing w:after="0"/>
        <w:jc w:val="both"/>
        <w:rPr>
          <w:i/>
          <w:lang w:eastAsia="x-none"/>
        </w:rPr>
      </w:pPr>
    </w:p>
    <w:p w14:paraId="102CA715" w14:textId="77777777" w:rsidR="002D76C6" w:rsidRDefault="002D76C6" w:rsidP="002D76C6">
      <w:pPr>
        <w:spacing w:after="0"/>
        <w:jc w:val="both"/>
        <w:rPr>
          <w:i/>
          <w:lang w:eastAsia="x-none"/>
        </w:rPr>
      </w:pPr>
    </w:p>
    <w:p w14:paraId="1C127B57" w14:textId="77777777" w:rsidR="002D76C6" w:rsidRDefault="002D76C6" w:rsidP="002D76C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 structure, Option 2</w:t>
      </w:r>
    </w:p>
    <w:p w14:paraId="12E30482" w14:textId="77777777" w:rsidR="000D47F3" w:rsidRDefault="000D47F3" w:rsidP="000D47F3">
      <w:pPr>
        <w:rPr>
          <w:sz w:val="18"/>
        </w:rPr>
      </w:pPr>
    </w:p>
    <w:sectPr w:rsidR="000D47F3" w:rsidSect="00C00AD8">
      <w:headerReference w:type="default" r:id="rId22"/>
      <w:footerReference w:type="default" r:id="rId23"/>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367FA" w14:textId="77777777" w:rsidR="003C1DE0" w:rsidRDefault="003C1DE0">
      <w:r>
        <w:separator/>
      </w:r>
    </w:p>
  </w:endnote>
  <w:endnote w:type="continuationSeparator" w:id="0">
    <w:p w14:paraId="5927511B" w14:textId="77777777" w:rsidR="003C1DE0" w:rsidRDefault="003C1DE0">
      <w:r>
        <w:continuationSeparator/>
      </w:r>
    </w:p>
  </w:endnote>
  <w:endnote w:type="continuationNotice" w:id="1">
    <w:p w14:paraId="6BEC0E31" w14:textId="77777777" w:rsidR="003C1DE0" w:rsidRDefault="003C1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9F2A71" w:rsidRDefault="009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F592D" w14:textId="77777777" w:rsidR="003C1DE0" w:rsidRDefault="003C1DE0">
      <w:r>
        <w:separator/>
      </w:r>
    </w:p>
  </w:footnote>
  <w:footnote w:type="continuationSeparator" w:id="0">
    <w:p w14:paraId="3B36F194" w14:textId="77777777" w:rsidR="003C1DE0" w:rsidRDefault="003C1DE0">
      <w:r>
        <w:continuationSeparator/>
      </w:r>
    </w:p>
  </w:footnote>
  <w:footnote w:type="continuationNotice" w:id="1">
    <w:p w14:paraId="05EF5BE2" w14:textId="77777777" w:rsidR="003C1DE0" w:rsidRDefault="003C1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9F2A71" w:rsidRDefault="009F2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6B16D8B"/>
    <w:multiLevelType w:val="hybridMultilevel"/>
    <w:tmpl w:val="5860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766106"/>
    <w:multiLevelType w:val="hybridMultilevel"/>
    <w:tmpl w:val="D6EA59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343DE9"/>
    <w:multiLevelType w:val="hybridMultilevel"/>
    <w:tmpl w:val="8B2ED8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329D0022"/>
    <w:multiLevelType w:val="hybridMultilevel"/>
    <w:tmpl w:val="78B651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9"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1"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3"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5"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0"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5"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8"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23"/>
  </w:num>
  <w:num w:numId="4">
    <w:abstractNumId w:val="12"/>
  </w:num>
  <w:num w:numId="5">
    <w:abstractNumId w:val="13"/>
  </w:num>
  <w:num w:numId="6">
    <w:abstractNumId w:val="18"/>
  </w:num>
  <w:num w:numId="7">
    <w:abstractNumId w:val="9"/>
  </w:num>
  <w:num w:numId="8">
    <w:abstractNumId w:val="26"/>
  </w:num>
  <w:num w:numId="9">
    <w:abstractNumId w:val="40"/>
  </w:num>
  <w:num w:numId="10">
    <w:abstractNumId w:val="34"/>
  </w:num>
  <w:num w:numId="11">
    <w:abstractNumId w:val="44"/>
  </w:num>
  <w:num w:numId="12">
    <w:abstractNumId w:val="6"/>
  </w:num>
  <w:num w:numId="13">
    <w:abstractNumId w:val="25"/>
  </w:num>
  <w:num w:numId="14">
    <w:abstractNumId w:val="31"/>
  </w:num>
  <w:num w:numId="15">
    <w:abstractNumId w:val="10"/>
  </w:num>
  <w:num w:numId="16">
    <w:abstractNumId w:val="16"/>
  </w:num>
  <w:num w:numId="17">
    <w:abstractNumId w:val="29"/>
  </w:num>
  <w:num w:numId="18">
    <w:abstractNumId w:val="45"/>
  </w:num>
  <w:num w:numId="19">
    <w:abstractNumId w:val="0"/>
  </w:num>
  <w:num w:numId="20">
    <w:abstractNumId w:val="4"/>
  </w:num>
  <w:num w:numId="21">
    <w:abstractNumId w:val="2"/>
  </w:num>
  <w:num w:numId="22">
    <w:abstractNumId w:val="38"/>
  </w:num>
  <w:num w:numId="23">
    <w:abstractNumId w:val="32"/>
  </w:num>
  <w:num w:numId="24">
    <w:abstractNumId w:val="21"/>
  </w:num>
  <w:num w:numId="25">
    <w:abstractNumId w:val="47"/>
  </w:num>
  <w:num w:numId="26">
    <w:abstractNumId w:val="39"/>
  </w:num>
  <w:num w:numId="27">
    <w:abstractNumId w:val="3"/>
  </w:num>
  <w:num w:numId="28">
    <w:abstractNumId w:val="41"/>
  </w:num>
  <w:num w:numId="29">
    <w:abstractNumId w:val="11"/>
  </w:num>
  <w:num w:numId="30">
    <w:abstractNumId w:val="24"/>
  </w:num>
  <w:num w:numId="31">
    <w:abstractNumId w:val="37"/>
  </w:num>
  <w:num w:numId="32">
    <w:abstractNumId w:val="42"/>
  </w:num>
  <w:num w:numId="33">
    <w:abstractNumId w:val="15"/>
  </w:num>
  <w:num w:numId="34">
    <w:abstractNumId w:val="30"/>
  </w:num>
  <w:num w:numId="35">
    <w:abstractNumId w:val="5"/>
  </w:num>
  <w:num w:numId="36">
    <w:abstractNumId w:val="17"/>
  </w:num>
  <w:num w:numId="37">
    <w:abstractNumId w:val="43"/>
  </w:num>
  <w:num w:numId="38">
    <w:abstractNumId w:val="33"/>
  </w:num>
  <w:num w:numId="39">
    <w:abstractNumId w:val="28"/>
  </w:num>
  <w:num w:numId="40">
    <w:abstractNumId w:val="20"/>
  </w:num>
  <w:num w:numId="41">
    <w:abstractNumId w:val="48"/>
  </w:num>
  <w:num w:numId="42">
    <w:abstractNumId w:val="19"/>
  </w:num>
  <w:num w:numId="43">
    <w:abstractNumId w:val="7"/>
  </w:num>
  <w:num w:numId="44">
    <w:abstractNumId w:val="8"/>
  </w:num>
  <w:num w:numId="45">
    <w:abstractNumId w:val="35"/>
  </w:num>
  <w:num w:numId="46">
    <w:abstractNumId w:val="1"/>
  </w:num>
  <w:num w:numId="47">
    <w:abstractNumId w:val="14"/>
  </w:num>
  <w:num w:numId="48">
    <w:abstractNumId w:val="36"/>
  </w:num>
  <w:num w:numId="49">
    <w:abstractNumId w:val="4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C3"/>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1F7"/>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6CFC"/>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5FD"/>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55D8"/>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52A1"/>
    <w:rsid w:val="001D7CA4"/>
    <w:rsid w:val="001D7E58"/>
    <w:rsid w:val="001E0E1B"/>
    <w:rsid w:val="001E1CF8"/>
    <w:rsid w:val="001E2AAD"/>
    <w:rsid w:val="001E30A0"/>
    <w:rsid w:val="001E3F75"/>
    <w:rsid w:val="001E4331"/>
    <w:rsid w:val="001E4D4F"/>
    <w:rsid w:val="001E57CF"/>
    <w:rsid w:val="001E5981"/>
    <w:rsid w:val="001E62FD"/>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56C"/>
    <w:rsid w:val="001F67AA"/>
    <w:rsid w:val="001F7599"/>
    <w:rsid w:val="00200E97"/>
    <w:rsid w:val="0020189F"/>
    <w:rsid w:val="002025FC"/>
    <w:rsid w:val="00204048"/>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879CD"/>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1C04"/>
    <w:rsid w:val="002B257E"/>
    <w:rsid w:val="002B2813"/>
    <w:rsid w:val="002B2D29"/>
    <w:rsid w:val="002B411D"/>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6C6"/>
    <w:rsid w:val="002D7C86"/>
    <w:rsid w:val="002E0692"/>
    <w:rsid w:val="002E15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CB7"/>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510"/>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4A"/>
    <w:rsid w:val="00374848"/>
    <w:rsid w:val="00375D09"/>
    <w:rsid w:val="00377260"/>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DE0"/>
    <w:rsid w:val="003C2902"/>
    <w:rsid w:val="003C3261"/>
    <w:rsid w:val="003C43D2"/>
    <w:rsid w:val="003C5C41"/>
    <w:rsid w:val="003C7461"/>
    <w:rsid w:val="003D0788"/>
    <w:rsid w:val="003D11E7"/>
    <w:rsid w:val="003D132A"/>
    <w:rsid w:val="003D1517"/>
    <w:rsid w:val="003D1CEB"/>
    <w:rsid w:val="003D2938"/>
    <w:rsid w:val="003D2C75"/>
    <w:rsid w:val="003D3216"/>
    <w:rsid w:val="003D3607"/>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3866"/>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09"/>
    <w:rsid w:val="00445FF7"/>
    <w:rsid w:val="00450575"/>
    <w:rsid w:val="00453341"/>
    <w:rsid w:val="0045360A"/>
    <w:rsid w:val="00453EF8"/>
    <w:rsid w:val="004545C6"/>
    <w:rsid w:val="00454DCA"/>
    <w:rsid w:val="00455A54"/>
    <w:rsid w:val="00456006"/>
    <w:rsid w:val="004561C0"/>
    <w:rsid w:val="00456544"/>
    <w:rsid w:val="00456649"/>
    <w:rsid w:val="004567B7"/>
    <w:rsid w:val="00456856"/>
    <w:rsid w:val="00456C0F"/>
    <w:rsid w:val="00457810"/>
    <w:rsid w:val="00457F50"/>
    <w:rsid w:val="00461210"/>
    <w:rsid w:val="00462490"/>
    <w:rsid w:val="00462A0A"/>
    <w:rsid w:val="00465299"/>
    <w:rsid w:val="00465C91"/>
    <w:rsid w:val="00466223"/>
    <w:rsid w:val="00466A0F"/>
    <w:rsid w:val="00466DF3"/>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5BA"/>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078AA"/>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04F"/>
    <w:rsid w:val="005758DF"/>
    <w:rsid w:val="00576A4A"/>
    <w:rsid w:val="00580793"/>
    <w:rsid w:val="00581470"/>
    <w:rsid w:val="00581893"/>
    <w:rsid w:val="00582087"/>
    <w:rsid w:val="00582ACE"/>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45F"/>
    <w:rsid w:val="005C263C"/>
    <w:rsid w:val="005C2679"/>
    <w:rsid w:val="005C2ED4"/>
    <w:rsid w:val="005C41D4"/>
    <w:rsid w:val="005C4E25"/>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065"/>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1104"/>
    <w:rsid w:val="00671D60"/>
    <w:rsid w:val="0067269D"/>
    <w:rsid w:val="00672988"/>
    <w:rsid w:val="00672C64"/>
    <w:rsid w:val="0067499F"/>
    <w:rsid w:val="00674E6A"/>
    <w:rsid w:val="00676A64"/>
    <w:rsid w:val="00676ACE"/>
    <w:rsid w:val="00677925"/>
    <w:rsid w:val="00677A6E"/>
    <w:rsid w:val="0068043E"/>
    <w:rsid w:val="00680F46"/>
    <w:rsid w:val="00681FDC"/>
    <w:rsid w:val="006829E8"/>
    <w:rsid w:val="00682B53"/>
    <w:rsid w:val="00682F27"/>
    <w:rsid w:val="006839E6"/>
    <w:rsid w:val="00683F93"/>
    <w:rsid w:val="00687B00"/>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1118B"/>
    <w:rsid w:val="007115D2"/>
    <w:rsid w:val="00711E13"/>
    <w:rsid w:val="00712EDA"/>
    <w:rsid w:val="007136D0"/>
    <w:rsid w:val="0071528E"/>
    <w:rsid w:val="007155A9"/>
    <w:rsid w:val="007158E1"/>
    <w:rsid w:val="00715AC5"/>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015"/>
    <w:rsid w:val="0077120B"/>
    <w:rsid w:val="007719F8"/>
    <w:rsid w:val="00772569"/>
    <w:rsid w:val="00772BF0"/>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7A"/>
    <w:rsid w:val="007E5AC2"/>
    <w:rsid w:val="007E6999"/>
    <w:rsid w:val="007E79C5"/>
    <w:rsid w:val="007F0036"/>
    <w:rsid w:val="007F0CDC"/>
    <w:rsid w:val="007F143A"/>
    <w:rsid w:val="007F2845"/>
    <w:rsid w:val="007F2884"/>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7C2D"/>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AFC"/>
    <w:rsid w:val="008B6C00"/>
    <w:rsid w:val="008C2B64"/>
    <w:rsid w:val="008C2CFD"/>
    <w:rsid w:val="008C3B90"/>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08E3"/>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0AFD"/>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709"/>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C17"/>
    <w:rsid w:val="00976F04"/>
    <w:rsid w:val="009775E9"/>
    <w:rsid w:val="009777F4"/>
    <w:rsid w:val="00977AD8"/>
    <w:rsid w:val="00980A10"/>
    <w:rsid w:val="00981130"/>
    <w:rsid w:val="00983038"/>
    <w:rsid w:val="00983A9E"/>
    <w:rsid w:val="00983D46"/>
    <w:rsid w:val="00983DCA"/>
    <w:rsid w:val="00985EF7"/>
    <w:rsid w:val="00986396"/>
    <w:rsid w:val="00986CF9"/>
    <w:rsid w:val="00986E6F"/>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094"/>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113"/>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30"/>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373"/>
    <w:rsid w:val="00A7778B"/>
    <w:rsid w:val="00A803BC"/>
    <w:rsid w:val="00A80969"/>
    <w:rsid w:val="00A80C68"/>
    <w:rsid w:val="00A84805"/>
    <w:rsid w:val="00A858C5"/>
    <w:rsid w:val="00A866A3"/>
    <w:rsid w:val="00A86EA7"/>
    <w:rsid w:val="00A91244"/>
    <w:rsid w:val="00A91AA1"/>
    <w:rsid w:val="00A92776"/>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65B7"/>
    <w:rsid w:val="00B1746F"/>
    <w:rsid w:val="00B17EA8"/>
    <w:rsid w:val="00B20725"/>
    <w:rsid w:val="00B20B94"/>
    <w:rsid w:val="00B21023"/>
    <w:rsid w:val="00B22CD3"/>
    <w:rsid w:val="00B2506B"/>
    <w:rsid w:val="00B25454"/>
    <w:rsid w:val="00B2628E"/>
    <w:rsid w:val="00B266B0"/>
    <w:rsid w:val="00B26E28"/>
    <w:rsid w:val="00B27921"/>
    <w:rsid w:val="00B3000E"/>
    <w:rsid w:val="00B30B17"/>
    <w:rsid w:val="00B313D3"/>
    <w:rsid w:val="00B31787"/>
    <w:rsid w:val="00B326A8"/>
    <w:rsid w:val="00B329EB"/>
    <w:rsid w:val="00B33330"/>
    <w:rsid w:val="00B33508"/>
    <w:rsid w:val="00B3377E"/>
    <w:rsid w:val="00B35BC9"/>
    <w:rsid w:val="00B35DA4"/>
    <w:rsid w:val="00B36B65"/>
    <w:rsid w:val="00B40A96"/>
    <w:rsid w:val="00B40DC9"/>
    <w:rsid w:val="00B4184B"/>
    <w:rsid w:val="00B422A7"/>
    <w:rsid w:val="00B42A32"/>
    <w:rsid w:val="00B42D9C"/>
    <w:rsid w:val="00B42FA6"/>
    <w:rsid w:val="00B43997"/>
    <w:rsid w:val="00B4399E"/>
    <w:rsid w:val="00B43A16"/>
    <w:rsid w:val="00B45C10"/>
    <w:rsid w:val="00B45CE1"/>
    <w:rsid w:val="00B46A75"/>
    <w:rsid w:val="00B46FB7"/>
    <w:rsid w:val="00B500CD"/>
    <w:rsid w:val="00B5239C"/>
    <w:rsid w:val="00B52FD2"/>
    <w:rsid w:val="00B5316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2C85"/>
    <w:rsid w:val="00B93008"/>
    <w:rsid w:val="00B9406D"/>
    <w:rsid w:val="00B944C0"/>
    <w:rsid w:val="00B94BA7"/>
    <w:rsid w:val="00B94BE9"/>
    <w:rsid w:val="00B94E0E"/>
    <w:rsid w:val="00B95343"/>
    <w:rsid w:val="00B958AF"/>
    <w:rsid w:val="00B96201"/>
    <w:rsid w:val="00B97CA3"/>
    <w:rsid w:val="00BA143E"/>
    <w:rsid w:val="00BA2275"/>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1A87"/>
    <w:rsid w:val="00BD3E68"/>
    <w:rsid w:val="00BD598A"/>
    <w:rsid w:val="00BD692E"/>
    <w:rsid w:val="00BD75B4"/>
    <w:rsid w:val="00BD7BFE"/>
    <w:rsid w:val="00BD7D14"/>
    <w:rsid w:val="00BE02B4"/>
    <w:rsid w:val="00BE0A4E"/>
    <w:rsid w:val="00BE1553"/>
    <w:rsid w:val="00BE2797"/>
    <w:rsid w:val="00BE3BE1"/>
    <w:rsid w:val="00BE4EC9"/>
    <w:rsid w:val="00BE631E"/>
    <w:rsid w:val="00BE7B83"/>
    <w:rsid w:val="00BE7D8B"/>
    <w:rsid w:val="00BF0BD4"/>
    <w:rsid w:val="00BF0CCF"/>
    <w:rsid w:val="00BF0FC5"/>
    <w:rsid w:val="00BF10BC"/>
    <w:rsid w:val="00BF21AC"/>
    <w:rsid w:val="00BF2E53"/>
    <w:rsid w:val="00BF3133"/>
    <w:rsid w:val="00BF3669"/>
    <w:rsid w:val="00BF3C0D"/>
    <w:rsid w:val="00BF711C"/>
    <w:rsid w:val="00BF7C74"/>
    <w:rsid w:val="00C00AD8"/>
    <w:rsid w:val="00C00ED8"/>
    <w:rsid w:val="00C0208F"/>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CE2"/>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19B2"/>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28F0"/>
    <w:rsid w:val="00CD3ED8"/>
    <w:rsid w:val="00CD4CC5"/>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979"/>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9E2"/>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5935"/>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1D3"/>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1FAB"/>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C6D"/>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4F4B"/>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1399"/>
    <w:rsid w:val="00F33DC8"/>
    <w:rsid w:val="00F34350"/>
    <w:rsid w:val="00F34444"/>
    <w:rsid w:val="00F34F36"/>
    <w:rsid w:val="00F360A6"/>
    <w:rsid w:val="00F36F33"/>
    <w:rsid w:val="00F4065A"/>
    <w:rsid w:val="00F40F19"/>
    <w:rsid w:val="00F4275C"/>
    <w:rsid w:val="00F44928"/>
    <w:rsid w:val="00F45693"/>
    <w:rsid w:val="00F47983"/>
    <w:rsid w:val="00F47C8B"/>
    <w:rsid w:val="00F506DF"/>
    <w:rsid w:val="00F51F04"/>
    <w:rsid w:val="00F52339"/>
    <w:rsid w:val="00F5277A"/>
    <w:rsid w:val="00F532E8"/>
    <w:rsid w:val="00F537FF"/>
    <w:rsid w:val="00F53860"/>
    <w:rsid w:val="00F54405"/>
    <w:rsid w:val="00F560FE"/>
    <w:rsid w:val="00F605B6"/>
    <w:rsid w:val="00F6111C"/>
    <w:rsid w:val="00F613EC"/>
    <w:rsid w:val="00F614C0"/>
    <w:rsid w:val="00F61647"/>
    <w:rsid w:val="00F61F5F"/>
    <w:rsid w:val="00F623D2"/>
    <w:rsid w:val="00F62A65"/>
    <w:rsid w:val="00F657CF"/>
    <w:rsid w:val="00F66A00"/>
    <w:rsid w:val="00F70CD3"/>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47A"/>
    <w:rsid w:val="00FA4DDF"/>
    <w:rsid w:val="00FA5208"/>
    <w:rsid w:val="00FA68DC"/>
    <w:rsid w:val="00FA6E7F"/>
    <w:rsid w:val="00FA7114"/>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448"/>
    <w:rsid w:val="00FF16F2"/>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bullet">
    <w:name w:val="bullet"/>
    <w:basedOn w:val="ListParagraph"/>
    <w:link w:val="bulletChar"/>
    <w:qFormat/>
    <w:rsid w:val="00B42D9C"/>
    <w:pPr>
      <w:widowControl w:val="0"/>
      <w:numPr>
        <w:numId w:val="47"/>
      </w:numPr>
      <w:spacing w:after="60"/>
      <w:ind w:left="720"/>
      <w:jc w:val="both"/>
    </w:pPr>
    <w:rPr>
      <w:rFonts w:eastAsia="Times New Roman"/>
      <w:kern w:val="2"/>
      <w:sz w:val="20"/>
      <w:lang w:val="en-GB" w:eastAsia="en-US"/>
    </w:rPr>
  </w:style>
  <w:style w:type="character" w:customStyle="1" w:styleId="bulletChar">
    <w:name w:val="bullet Char"/>
    <w:link w:val="bullet"/>
    <w:rsid w:val="00B42D9C"/>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9343676">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cid:image001.png@01D3E78D.65414E20" TargetMode="Externa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5AIRPNAIUNRU-1830940522-3707</_dlc_DocId>
    <_dlc_DocIdUrl xmlns="71c5aaf6-e6ce-465b-b873-5148d2a4c105">
      <Url>https://nokia.sharepoint.com/sites/c5g/5gradio/_layouts/15/DocIdRedir.aspx?ID=5AIRPNAIUNRU-1830940522-3707</Url>
      <Description>5AIRPNAIUNRU-1830940522-3707</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EB04B62D-7BB8-4199-AD32-DF13B3452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BF322D57-16F6-441E-8070-570B4EA2B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1670</Words>
  <Characters>8909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5</cp:revision>
  <cp:lastPrinted>2016-06-20T11:35:00Z</cp:lastPrinted>
  <dcterms:created xsi:type="dcterms:W3CDTF">2018-08-10T06:25:00Z</dcterms:created>
  <dcterms:modified xsi:type="dcterms:W3CDTF">2018-08-10T15:36:00Z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c13983e8-950e-4c6a-8f2a-ce6ecbaf06d7</vt:lpwstr>
  </property>
</Properties>
</file>